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10 de Agosto de 2025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-cervicalgia + -EPOC leve + -síndrome de túnel carpiano + -migraña.-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2019: episodio sensitivo con parestesias/hipoestesia de distribución dorsal que duró meses y restituyó casi ad integrum -(2°) mayo 2023: recaída de similares características, agregando mínimo componente motor y/o equilibrio. disestesias con hiperestesias quemantes. constipación pertinaz. crisis vertiginosas. parestesias e hipoestesias. Evolución: -Sin evidencia de actividad clínica reciente; controles radiológicos sin captación de gadolinio.</w:t>
      </w:r>
    </w:p>
    <w:p>
      <w:r>
        <w:rPr>
          <w:b w:val="0"/>
        </w:rPr>
        <w:t>Datos semiológicos: elementos esfinterianos vésico-rectales + ataxia axial leve + Romberg + + elementos mínimos de bipiramidalismo + R. Hoffman bilateral.- EDSS: 5.0.-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Acetato de glatiramer (Copaxone) 20 mg 1 vez/día por vía SC. El objetivo es disminuir el número y la gravedad de las recaídas, retrasando la discapacidad acumulativa y previniendo la atrofia cerebral.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-Copaxone: -Acetato de glatiramer: 20 mg, 1 vez/día = 1 envase/28-30 días.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