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13 de Octubre de 2024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-síndrome de túnel carpiano + -hipertensión arterial + -migraña.-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noviembre 2011: episodio sensitivo con parestesias/hipoestesia de distribución dorsal que duró meses y restituyó casi ad integrum -(2°) mayo 2015: recaída de similares características, agregando mínimo componente motor y/o equilibrio. urgencia urinaria con episodios de incontinencia. parestesias e hipoestesias. trastornos del equilibrio y coordinación con marcha inestable. constipación pertinaz. neuritis óptica / disminución de visión central. disminución de la fuerza con torpeza motora. Evolución: -Buena respuesta clínica, sin brotes recientes y adecuada tolerancia al tratamiento.</w:t>
      </w:r>
    </w:p>
    <w:p>
      <w:r>
        <w:rPr>
          <w:b w:val="0"/>
        </w:rPr>
        <w:t>Datos semiológicos: síndrome bipiramidal a predominio crural + Romberg + + elementos mínimos de bipiramidalismo + ataxia axial leve.- EDSS: 6.0.-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16/02/19: múltiples imágenes focales cerebrales en la sustancia blanca a predominio periventriculares bilaterales pericallosas (n°≥ 15), con algunas captando Gd IV(+) compatibles con actividad. inactiva. Hallazgos cortical. sin realce con Gd.</w:t>
      </w:r>
    </w:p>
    <w:p>
      <w:r>
        <w:rPr>
          <w:b w:val="0"/>
        </w:rPr>
        <w:t>-RMN de c/ cervical-dorsal 28/02/20: lesión intramedular cervical C3-C4 con realce con Gd IV, compatible con desmielinización aguda. inactiva. Hallazgos infratentorial. sin realce con Gd.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(16/02/19):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2023: Estado=Activo; Nuevas_T2=1; Gd+=0.</w:t>
      </w:r>
    </w:p>
    <w:p>
      <w:r>
        <w:rPr>
          <w:b w:val="0"/>
        </w:rPr>
        <w:t>-Año 2024: Estado=NEDA_RMN; Nuevas_T2=0; Gd+=0.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-Baclofeno (Lioresal): 40-80 mg/día por vía oral, indicado para espasticidad/hipertonía.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