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22 de Abril de 2022</w:t>
      </w:r>
    </w:p>
    <w:p/>
    <w:p>
      <w:r>
        <w:rPr>
          <w:b w:val="0"/>
        </w:rPr>
        <w:t>Apellido y nombre: Gómez, Federico.    DNI: 21.434.414        Fecha de Nacimiento: 08/03/61</w:t>
      </w:r>
    </w:p>
    <w:p>
      <w:r>
        <w:rPr>
          <w:b w:val="0"/>
        </w:rPr>
        <w:t>Dirección: 32 e/ 20 y 21 Nº 1550. La Plata. Teléfono: (0221)  494-9935 / 15- 2458591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B13999315/00</w:t>
      </w:r>
    </w:p>
    <w:p>
      <w:r>
        <w:rPr>
          <w:b w:val="0"/>
        </w:rPr>
        <w:t>Asistida desde: 03/04/17</w:t>
      </w:r>
    </w:p>
    <w:p>
      <w:r>
        <w:rPr>
          <w:b w:val="0"/>
        </w:rPr>
        <w:t>Antecedente personales: -alergia a abejas + -síndrome de túnel carpiano + -ansiedad.-</w:t>
      </w:r>
    </w:p>
    <w:p>
      <w:r>
        <w:rPr>
          <w:b w:val="0"/>
        </w:rPr>
        <w:t>Antecedentes familiares: hermano con diabetes.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septiembre 2018: episodio sensitivo con parestesias/hipoestesia de distribución dorsal que duró meses y restituyó casi ad integrum -(2°) febrero 2020: recaída de similares características, agregando mínimo componente motor y/o equilibrio. neuritis óptica / disminución de visión central. disestesias con hiperestesias quemantes. disminución de la fuerza con torpeza motora. parestesias e hipoestesias. Evolución: -Buena respuesta clínica, sin brotes recientes y adecuada tolerancia al tratamiento.</w:t>
      </w:r>
    </w:p>
    <w:p>
      <w:r>
        <w:rPr>
          <w:b w:val="0"/>
        </w:rPr>
        <w:t>Datos semiológicos: Romberg + + elementos esfinterianos vésico-rectales + elementos mínimos de bipiramidalismo + hemihipoestesia con nivel sensitivo dorsal + ataxia axial leve.- EDSS: 2.5.-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Biomarcadores e Imagen:</w:t>
      </w:r>
    </w:p>
    <w:p>
      <w:r>
        <w:rPr>
          <w:b w:val="0"/>
        </w:rPr>
        <w:t>-Punción lumbar con evaluación del LCR: bandas oligoclonales de IgG: negativas.</w:t>
      </w:r>
    </w:p>
    <w:p>
      <w:r>
        <w:rPr>
          <w:b w:val="0"/>
        </w:rPr>
        <w:t>-Detección de Atrofia: No detectada.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encéfalo 22/11/19: múltiples imágenes focales cerebrales en la sustancia blanca a predominio periventriculares bilaterales pericallosas (n°≥ 15), con algunas captando Gd IV(+) compatibles con actividad. activa. Hallazgos periventricular. realza con Gd +.</w:t>
      </w:r>
    </w:p>
    <w:p>
      <w:r>
        <w:rPr>
          <w:b w:val="0"/>
        </w:rPr>
        <w:t>-RMN de c/ cervical-dorsal 15/06/17: lesión intramedular cervical C3-C4 con realce con Gd IV, compatible con desmielinización aguda. inactiva. Hallazgos medular. sin realce con Gd.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-Punción lumbar con evaluación del LCR (22/11/19): bandas oligoclonales de IgG: Negativas.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Actividad Lesional Bianual (RMN):</w:t>
      </w:r>
    </w:p>
    <w:p>
      <w:r>
        <w:rPr>
          <w:b w:val="0"/>
        </w:rPr>
        <w:t>-Año 2021: Estado=Activo; Nuevas_T2=3; Gd+=0.</w:t>
      </w:r>
    </w:p>
    <w:p>
      <w:r>
        <w:rPr>
          <w:b w:val="0"/>
        </w:rPr>
        <w:t>-Año 2022: Estado=NEDA_RMN; Nuevas_T2=0; Gd+=0.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 Motivo de cambio: efectos adversos / mala tolerancia.</w:t>
      </w:r>
    </w:p>
    <w:p>
      <w:r>
        <w:rPr>
          <w:b w:val="0"/>
        </w:rPr>
        <w:t>Además, tratamiento sintomático: -Tizanidina (Sirdalud): 6-12 mg/día por vía oral, indicado para espasticidad.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