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Noviembre de 2019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-rosácea + -alergia a abejas + -EPOC leve + -hipotiroidismo en tratamiento.-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2011: episodio sensitivo con parestesias/hipoestesia de distribución dorsal que duró meses y restituyó casi ad integrum -(2°) julio 2013: recaída de similares características, agregando mínimo componente motor y/o equilibrio. neuritis óptica / disminución de visión central. fatiga y termosensibilidad. disestesias con hiperestesias quemantes. crisis vertiginosas. disminución de la fuerza con torpeza motora. parestesias e hipoestesias. Evolución: -Buena respuesta clínica, sin brotes recientes y adecuada tolerancia al tratamiento.</w:t>
      </w:r>
    </w:p>
    <w:p>
      <w:r>
        <w:rPr>
          <w:b w:val="0"/>
        </w:rPr>
        <w:t>Datos semiológicos: elementos esfinterianos vésico-rectales + R. Hoffman bilateral + elementos mínimos de bipiramidalismo.-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05/11/16: múltiples lesiones periventriculares, algunas hipointensas en T1 (agujeros negros), sin restricción en difusión. inactiva. Hallazgos periventricular. sin realce con Gd.</w:t>
      </w:r>
    </w:p>
    <w:p>
      <w:r>
        <w:rPr>
          <w:b w:val="0"/>
        </w:rPr>
        <w:t>-RMN de c/ cervical-dorsal 06/12/17: sin imágenes focales espinales evidentes en el control. inactiva. Hallazgos medular.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(05/11/16):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2018: Estado=Activo; Nuevas_T2=1; Gd+=0.</w:t>
      </w:r>
    </w:p>
    <w:p>
      <w:r>
        <w:rPr>
          <w:b w:val="0"/>
        </w:rPr>
        <w:t>-Año 2019: Estado=Activo; Nuevas_T2=2;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-Tizanidina (Sirdalud): 6-12 mg/día por vía oral, indicado para espasticidad.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