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08 de Julio de 2025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-ansiedad + -EPOC leve.-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2012: episodio sensitivo con parestesias/hipoestesia de distribución dorsal que duró meses y restituyó casi ad integrum -(2°) julio 2016: recaída de similares características, agregando mínimo componente motor y/o equilibrio. dolor neuropático tipo fulgurante y Lhermitte. urgencia urinaria con episodios de incontinencia. disestesias con hiperestesias quemantes. constipación pertinaz. crisis vertiginosas. disminución de la fuerza con torpeza motora. Evolución: -Buena respuesta clínica, sin brotes recientes y adecuada tolerancia al tratamiento.</w:t>
      </w:r>
    </w:p>
    <w:p>
      <w:r>
        <w:rPr>
          <w:b w:val="0"/>
        </w:rPr>
        <w:t>Datos semiológicos: ataxia axial leve + elementos mínimos de bipiramidalismo + elementos esfinterianos vésico-rectales.- EDSS: 3.0.-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28/02/23: múltiples lesiones periventriculares, algunas hipointensas en T1 (agujeros negros), sin restricción en difusión. inactiva. Hallazgos periventricular. sin realce con Gd.</w:t>
      </w:r>
    </w:p>
    <w:p>
      <w:r>
        <w:rPr>
          <w:b w:val="0"/>
        </w:rPr>
        <w:t>-RMN de c/ cervical-dorsal 08/03/25: imágenes focales en médula dorsal T3-T4 y T5-T6 con discreto realce con Gd IV(+). activa. Hallazgos periventricular. realza con Gd +.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(28/02/23):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2024: Estado=NEDA_RMN; Nuevas_T2=0; Gd+=0.</w:t>
      </w:r>
    </w:p>
    <w:p>
      <w:r>
        <w:rPr>
          <w:b w:val="0"/>
        </w:rPr>
        <w:t>-Año 2025: Estado=NEDA_RMN; Nuevas_T2=0; Gd+=0.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cobertura / indicación administrativa.</w:t>
      </w:r>
    </w:p>
    <w:p>
      <w:r>
        <w:rPr>
          <w:b w:val="0"/>
        </w:rPr>
        <w:t>Además, tratamiento sintomático: -Pregabalina (Lyrica): 150-300 mg/día por vía oral, indicado para dolor neuropático. -Baclofeno (Lioresal): 40-80 mg/día por vía oral, indicado para espasticidad/hipertonía.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