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16 de Marzo de 2023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-EPOC leve + -cervicalgia + -rosácea + -hipertensión arterial.-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2022: episodio sensitivo con parestesias/hipoestesia de distribución dorsal que duró meses y restituyó casi ad integrum -(2°) junio 2024: recaída de similares características, agregando mínimo componente motor y/o equilibrio. neuritis óptica / disminución de visión central. fatiga y termosensibilidad. crisis vertiginosas. trastornos del equilibrio y coordinación con marcha inestable. Evolución: -Sin evidencia de actividad clínica reciente; controles radiológicos sin captación de gadolinio.</w:t>
      </w:r>
    </w:p>
    <w:p>
      <w:r>
        <w:rPr>
          <w:b w:val="0"/>
        </w:rPr>
        <w:t>Datos semiológicos: ataxia axial leve + elementos esfinterianos vésico-rectales + R. Hoffman bilateral + síndrome bipiramidal a predominio crural.-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20/12/20: lesiones desmielinizantes periventriculares y yuxtacorticales, sin captación de Gd IV(-) en el control. inactiva. Hallazgos cortical. sin realce con Gd.</w:t>
      </w:r>
    </w:p>
    <w:p>
      <w:r>
        <w:rPr>
          <w:b w:val="0"/>
        </w:rPr>
        <w:t>-RMN de c/ cervical-dorsal 18/01/22: sin imágenes focales espinales evidentes en el control. activa. Hallazgos infratentorial. sin realce con Gd.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(20/12/20):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2022: Estado=Activo; Nuevas_T2=2; Gd+=0.</w:t>
      </w:r>
    </w:p>
    <w:p>
      <w:r>
        <w:rPr>
          <w:b w:val="0"/>
        </w:rPr>
        <w:t>-Año 2023: Estado=NEDA_RMN; Nuevas_T2=0; Gd+=0.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falla por baja eficacia.</w:t>
      </w:r>
    </w:p>
    <w:p>
      <w:r>
        <w:rPr>
          <w:b w:val="0"/>
        </w:rPr>
        <w:t>Además, tratamiento sintomático: -Tizanidina (Sirdalud): 6-12 mg/día por vía oral, indicado para espasticidad.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