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10 de Abril de 2019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-hipotiroidismo en tratamiento + -cervicalgia + -diabetes tipo 2.-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2010: episodio sensitivo con parestesias/hipoestesia de distribución dorsal que duró meses y restituyó casi ad integrum -(2°) abril 2013: recaída de similares características, agregando mínimo componente motor y/o equilibrio. neuritis óptica / disminución de visión central. urgencia urinaria con episodios de incontinencia. dolor neuropático tipo fulgurante y Lhermitte. crisis vertiginosas. trastornos del equilibrio y coordinación con marcha inestable.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ataxia axial leve + elementos mínimos de bipiramidalismo + Romberg +.-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18/03/16: múltiples imágenes focales cerebrales en la sustancia blanca a predominio periventriculares bilaterales pericallosas (n°≥ 15), con algunas captando Gd IV(+) compatibles con actividad. activa. Hallazgos cortical. realza con Gd +.</w:t>
      </w:r>
    </w:p>
    <w:p>
      <w:r>
        <w:rPr>
          <w:b w:val="0"/>
        </w:rPr>
        <w:t>-RMN de c/ cervical-dorsal 02/01/18: imágenes focales en médula dorsal T3-T4 y T5-T6 con discreto realce con Gd IV(+). inactiva. Hallazgos medular.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(18/03/16):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2018: Estado=NEDA_RMN; Nuevas_T2=0; Gd+=0.</w:t>
      </w:r>
    </w:p>
    <w:p>
      <w:r>
        <w:rPr>
          <w:b w:val="0"/>
        </w:rPr>
        <w:t>-Año 2019: Estado=Activo; Nuevas_T2=1;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-Pregabalina (Lyrica): 150-300 mg/día por vía oral, indicado para dolor neuropático. -Tizanidina (Sirdalud): 6-12 mg/día por vía oral, indicado para espasticidad.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