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24 de Octubre de 2018</w:t>
      </w:r>
    </w:p>
    <w:p/>
    <w:p>
      <w:r>
        <w:rPr>
          <w:b w:val="0"/>
        </w:rPr>
        <w:t>Apellido y nombre: Pérez, Florencia.    DNI: 27.588.477        Fecha de Nacimiento: 04/02/79</w:t>
      </w:r>
    </w:p>
    <w:p>
      <w:r>
        <w:rPr>
          <w:b w:val="0"/>
        </w:rPr>
        <w:t>Dirección: calle 650 e/ 2 y 3 s/n° 427. La Plata. Teléfono: (0221)  445-6635 / 15- 5437923</w:t>
      </w:r>
    </w:p>
    <w:p>
      <w:r>
        <w:rPr>
          <w:b w:val="0"/>
        </w:rPr>
        <w:t>Obra Social: OSDE</w:t>
      </w:r>
    </w:p>
    <w:p>
      <w:r>
        <w:rPr>
          <w:b w:val="0"/>
        </w:rPr>
        <w:t xml:space="preserve">                       nº de afiliado: X71662963/00</w:t>
      </w:r>
    </w:p>
    <w:p>
      <w:r>
        <w:rPr>
          <w:b w:val="0"/>
        </w:rPr>
        <w:t>Asistida desde: 18/02/22</w:t>
      </w:r>
    </w:p>
    <w:p>
      <w:r>
        <w:rPr>
          <w:b w:val="0"/>
        </w:rPr>
        <w:t>Antecedente personales: -diabetes tipo 2 + -migraña + -hipertensión arterial.-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2017: episodio sensitivo con parestesias/hipoestesia de distribución dorsal que duró meses y restituyó casi ad integrum -(2°) febrero 2020: recaída de similares características, agregando mínimo componente motor y/o equilibrio. disminución de la fuerza con torpeza motora. fatiga y termosensibilidad. disestesias con hiperestesias quemantes. crisis vertiginosas. Evolución: -Buena respuesta clínica, sin brotes recientes y adecuada tolerancia al tratamiento.</w:t>
      </w:r>
    </w:p>
    <w:p>
      <w:r>
        <w:rPr>
          <w:b w:val="0"/>
        </w:rPr>
        <w:t>Datos semiológicos: R. Hoffman bilateral + hemihipoestesia con nivel sensitivo dorsal + ataxia axial leve.- EDSS: 1.0.-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negativas.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09/11/13: lesiones desmielinizantes periventriculares y yuxtacorticales, sin captación de Gd IV(-) en el control. inactiva. Hallazgos infratentorial. sin realce con Gd.</w:t>
      </w:r>
    </w:p>
    <w:p>
      <w:r>
        <w:rPr>
          <w:b w:val="0"/>
        </w:rPr>
        <w:t>-RMN de c/ cervical-dorsal 06/04/14: sin imágenes focales espinales evidentes en el control. activa. Hallazgos infratentorial. realza con Gd +.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 (09/11/13): bandas oligoclonales de IgG: Negativas.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2017: Estado=NEDA_RMN; Nuevas_T2=0; Gd+=0.</w:t>
      </w:r>
    </w:p>
    <w:p>
      <w:r>
        <w:rPr>
          <w:b w:val="0"/>
        </w:rPr>
        <w:t>-Año 2018: Estado=NEDA_RMN; Nuevas_T2=0; Gd+=0.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 Motivo de cambio: preferencia del paciente / adherencia.</w:t>
      </w:r>
    </w:p>
    <w:p>
      <w:r>
        <w:rPr>
          <w:b w:val="0"/>
        </w:rPr>
        <w:t>Además, tratamiento sintomático: -Tizanidina (Sirdalud): 6-12 mg/día por vía oral, indicado para espasticidad.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