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16 de Septiembre de 2025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-migraña + -hipotiroidismo en tratamiento + -diabetes tipo 2 + -rosácea.-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2015: episodio sensitivo con parestesias/hipoestesia de distribución dorsal que duró meses y restituyó casi ad integrum -(2°) abril 2019: recaída de similares características, agregando mínimo componente motor y/o equilibrio. fatiga y termosensibilidad. constipación pertinaz. crisis vertiginosas. trastornos del equilibrio y coordinación con marcha inestable. disestesias con hiperestesias quemantes. neuritis óptica / disminución de visión central. Evolución: -Sin evidencia de actividad clínica reciente; controles radiológicos sin captación de gadolinio.</w:t>
      </w:r>
    </w:p>
    <w:p>
      <w:r>
        <w:rPr>
          <w:b w:val="0"/>
        </w:rPr>
        <w:t>Datos semiológicos: elementos mínimos de bipiramidalismo + hemihipoestesia con nivel sensitivo dorsal + ataxia axial leve + R. Hoffman bilateral + Romberg +.-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negativas.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15/06/21: lesiones desmielinizantes periventriculares y yuxtacorticales, sin captación de Gd IV(-) en el control. inactiva. Hallazgos cortical. sin realce con Gd.</w:t>
      </w:r>
    </w:p>
    <w:p>
      <w:r>
        <w:rPr>
          <w:b w:val="0"/>
        </w:rPr>
        <w:t>-RMN de c/ cervical-dorsal 23/04/24: sin imágenes focales espinales evidentes en el control. inactiva. Hallazgos medular.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(15/06/21):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2024: Estado=NEDA_RMN; Nuevas_T2=0; Gd+=0.</w:t>
      </w:r>
    </w:p>
    <w:p>
      <w:r>
        <w:rPr>
          <w:b w:val="0"/>
        </w:rPr>
        <w:t>-Año 2025: Estado=Activo; Nuevas_T2=3;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