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24 de Junio de 2022</w:t>
      </w:r>
    </w:p>
    <w:p/>
    <w:p>
      <w:r>
        <w:rPr>
          <w:b w:val="0"/>
        </w:rPr>
        <w:t>Apellido y nombre: Martínez, Nicolás.    DNI: 29.842.424        Fecha de Nacimiento: 12/04/97</w:t>
      </w:r>
    </w:p>
    <w:p>
      <w:r>
        <w:rPr>
          <w:b w:val="0"/>
        </w:rPr>
        <w:t>Dirección: 7 y 526. Tolosa, La Plata. Teléfono: (0221)  489-2169 / 15- 3871230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H31931511/00</w:t>
      </w:r>
    </w:p>
    <w:p>
      <w:r>
        <w:rPr>
          <w:b w:val="0"/>
        </w:rPr>
        <w:t>Asistida desde: 15/07/18</w:t>
      </w:r>
    </w:p>
    <w:p>
      <w:r>
        <w:rPr>
          <w:b w:val="0"/>
        </w:rPr>
        <w:t>Antecedente personales: -síndrome de túnel carpiano + -ansiedad.-</w:t>
      </w:r>
    </w:p>
    <w:p>
      <w:r>
        <w:rPr>
          <w:b w:val="0"/>
        </w:rPr>
        <w:t>Antecedentes familiares: padre con HTA.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diciembre 2015: episodio sensitivo con parestesias/hipoestesia de distribución dorsal que duró meses y restituyó casi ad integrum -(2°) enero 2016: recaída de similares características, agregando mínimo componente motor y/o equilibrio. dolor neuropático tipo fulgurante y Lhermitte. urgencia urinaria con episodios de incontinencia. trastornos del equilibrio y coordinación con marcha inestable. neuritis óptica / disminución de visión central. Evolución: -Libre de recaídas, sin requerimientos de corticoides en los últimos meses.</w:t>
      </w:r>
    </w:p>
    <w:p>
      <w:r>
        <w:rPr>
          <w:b w:val="0"/>
        </w:rPr>
        <w:t>Datos semiológicos: R. Hoffman bilateral + síndrome bipiramidal a predominio crural + elementos mínimos de bipiramidalismo.- EDSS: 4.0.-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negativas.</w:t>
      </w:r>
    </w:p>
    <w:p>
      <w:r>
        <w:rPr>
          <w:b w:val="0"/>
        </w:rPr>
        <w:t>-Detección de Atrofia: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12/09/21: lesiones desmielinizantes periventriculares y yuxtacorticales, sin captación de Gd IV(-) en el control. inactiva. Hallazgos cortical. sin realce con Gd.</w:t>
      </w:r>
    </w:p>
    <w:p>
      <w:r>
        <w:rPr>
          <w:b w:val="0"/>
        </w:rPr>
        <w:t>-RMN de c/ cervical-dorsal 09/03/19: imágenes focales en médula dorsal T3-T4 y T5-T6 con discreto realce con Gd IV(+). inactiva. Hallazgos infratentorial. sin realce con Gd.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 (12/09/21): bandas oligoclonales de IgG: Negativas.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2021: Estado=NEDA_RMN; Nuevas_T2=0; Gd+=0.</w:t>
      </w:r>
    </w:p>
    <w:p>
      <w:r>
        <w:rPr>
          <w:b w:val="0"/>
        </w:rPr>
        <w:t>-Año 2022: Estado=NEDA_RMN; Nuevas_T2=0; Gd+=0.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 (Avonex) 30 mcgrs. 1 vez/semana por vía IM. El objetivo es disminuir el número y la gravedad de las recaídas, retrasando la discapacidad acumulativa y previniendo la atrofia cerebral.</w:t>
      </w:r>
    </w:p>
    <w:p>
      <w:r>
        <w:rPr>
          <w:b w:val="0"/>
        </w:rPr>
        <w:t>Además, tratamiento sintomático: -Pregabalina (Lyrica): 150-300 mg/día por vía oral, indicado para dolor neuropático. -Baclofeno (Lioresal): 40-80 mg/día por vía oral, indicado para espasticidad/hipertonía. -Oxibutinina (Ditropan UD): 10-15 mg/día por vía oral, indicado para urgencia urinaria/incontinencia.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-Avonex: -Interferón beta 1a: 30 mcgrs., 1 vez/semana = 1 envase/28 días (4 aplicaciones).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