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18 de Octubre de 2018</w:t>
      </w:r>
    </w:p>
    <w:p/>
    <w:p>
      <w:r>
        <w:rPr>
          <w:b w:val="0"/>
        </w:rPr>
        <w:t>Apellido y nombre: Martínez, Nicolás.    DNI: 29.842.424        Fecha de Nacimiento: 12/04/97</w:t>
      </w:r>
    </w:p>
    <w:p>
      <w:r>
        <w:rPr>
          <w:b w:val="0"/>
        </w:rPr>
        <w:t>Dirección: 7 y 526. Tolosa, La Plata. Teléfono: (0221)  489-2169 / 15- 3871230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H31931511/00</w:t>
      </w:r>
    </w:p>
    <w:p>
      <w:r>
        <w:rPr>
          <w:b w:val="0"/>
        </w:rPr>
        <w:t>Asistida desde: 15/07/18</w:t>
      </w:r>
    </w:p>
    <w:p>
      <w:r>
        <w:rPr>
          <w:b w:val="0"/>
        </w:rPr>
        <w:t>Antecedente personales: -hipotiroidismo en tratamiento + -tabaquismo + -hipertensión arterial + -cervicalgia.-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julio 2019: episodio sensitivo con parestesias/hipoestesia de distribución dorsal que duró meses y restituyó casi ad integrum -(2°) junio 2021: recaída de similares características, agregando mínimo componente motor y/o equilibrio. urgencia urinaria con episodios de incontinencia. crisis vertiginosas. constipación pertinaz. trastornos del equilibrio y coordinación con marcha inestable. dolor neuropático tipo fulgurante y Lhermitte. Evolución: -Buena respuesta clínica, sin brotes recientes y adecuada tolerancia al tratamiento.</w:t>
      </w:r>
    </w:p>
    <w:p>
      <w:r>
        <w:rPr>
          <w:b w:val="0"/>
        </w:rPr>
        <w:t>Datos semiológicos: síndrome bipiramidal a predominio crural + hemihipoestesia con nivel sensitivo dorsal + ataxia axial leve.- EDSS: 2.5.-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Biomarcadores e Imagen:</w:t>
      </w:r>
    </w:p>
    <w:p>
      <w:r>
        <w:rPr>
          <w:b w:val="0"/>
        </w:rPr>
        <w:t>-Punción lumbar con evaluación del LCR: bandas oligoclonales de IgG: positivas.</w:t>
      </w:r>
    </w:p>
    <w:p>
      <w:r>
        <w:rPr>
          <w:b w:val="0"/>
        </w:rPr>
        <w:t>-Detección de Atrofia: Detectada.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encéfalo 28/11/16: múltiples imágenes focales cerebrales en la sustancia blanca a predominio periventriculares bilaterales pericallosas (n°≥ 15), con algunas captando Gd IV(+) compatibles con actividad. inactiva. Hallazgos cortical. sin realce con Gd.</w:t>
      </w:r>
    </w:p>
    <w:p>
      <w:r>
        <w:rPr>
          <w:b w:val="0"/>
        </w:rPr>
        <w:t>-RMN de c/ cervical-dorsal 28/12/13: imágenes focales en médula dorsal T3-T4 y T5-T6 con discreto realce con Gd IV(+). inactiva. Hallazgos medular. sin realce con Gd.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-Punción lumbar con evaluación del LCR (28/11/16): bandas oligoclonales de IgG: Positivas.</w:t>
      </w:r>
    </w:p>
    <w:p>
      <w:r>
        <w:rPr>
          <w:b w:val="0"/>
        </w:rPr>
        <w:t>-RMN volumétrica: se describen signos de atrofia cerebral leve (disminución de volumen).</w:t>
      </w:r>
    </w:p>
    <w:p>
      <w:r>
        <w:rPr>
          <w:b w:val="0"/>
        </w:rPr>
        <w:t>Actividad Lesional Bianual (RMN):</w:t>
      </w:r>
    </w:p>
    <w:p>
      <w:r>
        <w:rPr>
          <w:b w:val="0"/>
        </w:rPr>
        <w:t>-Año 2017: Estado=NEDA_RMN; Nuevas_T2=0; Gd+=0.</w:t>
      </w:r>
    </w:p>
    <w:p>
      <w:r>
        <w:rPr>
          <w:b w:val="0"/>
        </w:rPr>
        <w:t>-Año 2018: Estado=NEDA_RMN; Nuevas_T2=0; Gd+=0.</w:t>
      </w:r>
    </w:p>
    <w:p>
      <w:r>
        <w:rPr>
          <w:b w:val="0"/>
        </w:rPr>
        <w:t>-Potenciales Evocados Trimodales: somatosensitivos de MMII con alteración en latencias.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1a-recombinante (Blastoferón) 12 MUI (44Mcgrs.)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-Gabapentín (Neurontin): 600 mg/día por vía oral, indicado para dolor neuropático. -Tizanidina (Sirdalud): 6-12 mg/día por vía oral, indicado para espasticidad. -Oxibutinina (Ditropan UD): 10-15 mg/día por vía oral, indicado para urgencia urinaria/incontinencia.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-Blastoferón: -Interferón Beta 1a-recombinante: 12 MUI (44Mcgrs.)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