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10 de Diciembre de 2025</w:t>
      </w:r>
    </w:p>
    <w:p/>
    <w:p>
      <w:r>
        <w:rPr>
          <w:b w:val="0"/>
        </w:rPr>
        <w:t>Apellido y nombre: Martínez, Nicolás.    DNI: 29.842.424        Fecha de Nacimiento: 12/04/97</w:t>
      </w:r>
    </w:p>
    <w:p>
      <w:r>
        <w:rPr>
          <w:b w:val="0"/>
        </w:rPr>
        <w:t>Dirección: 7 y 526. Tolosa, La Plata. Teléfono: (0221)  489-2169 / 15- 3871230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H31931511/00</w:t>
      </w:r>
    </w:p>
    <w:p>
      <w:r>
        <w:rPr>
          <w:b w:val="0"/>
        </w:rPr>
        <w:t>Asistida desde: 15/07/18</w:t>
      </w:r>
    </w:p>
    <w:p>
      <w:r>
        <w:rPr>
          <w:b w:val="0"/>
        </w:rPr>
        <w:t>Antecedente personales: -síndrome de túnel carpiano + -hipotiroidismo en tratamiento + -cervicalgia + -EPOC leve + -hipertensión arterial.-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julio 2021: episodio sensitivo con parestesias/hipoestesia de distribución dorsal que duró meses y restituyó casi ad integrum -(2°) abril 2025: recaída de similares características, agregando mínimo componente motor y/o equilibrio. constipación pertinaz. parestesias e hipoestesias. fatiga y termosensibilidad. crisis vertiginosas. Evolución: -Sin evidencia de actividad clínica reciente; controles radiológicos sin captación de gadolinio.</w:t>
      </w:r>
    </w:p>
    <w:p>
      <w:r>
        <w:rPr>
          <w:b w:val="0"/>
        </w:rPr>
        <w:t>Datos semiológicos: hemihipoestesia con nivel sensitivo dorsal + síndrome bipiramidal a predominio crural + elementos esfinterianos vésico-rectales.- EDSS: 4.0.-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positivas.</w:t>
      </w:r>
    </w:p>
    <w:p>
      <w:r>
        <w:rPr>
          <w:b w:val="0"/>
        </w:rPr>
        <w:t>-Detección de Atrofia: No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02/05/23: múltiples lesiones periventriculares, algunas hipointensas en T1 (agujeros negros), sin restricción en difusión. inactiva. Hallazgos infratentorial. sin realce con Gd.</w:t>
      </w:r>
    </w:p>
    <w:p>
      <w:r>
        <w:rPr>
          <w:b w:val="0"/>
        </w:rPr>
        <w:t>-RMN de c/ cervical-dorsal 04/02/21: sin imágenes focales espinales evidentes en el control. activa. Hallazgos infratentorial. realza con Gd +.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-Punción lumbar con evaluación del LCR (02/05/23):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2024: Estado=NEDA_RMN; Nuevas_T2=0; Gd+=0.</w:t>
      </w:r>
    </w:p>
    <w:p>
      <w:r>
        <w:rPr>
          <w:b w:val="0"/>
        </w:rPr>
        <w:t>-Año 2025: Estado=Activo; Nuevas_T2=3; Gd+=1.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 (Avonex) 30 mcgrs. 1 vez/semana por vía IM. El objetivo es disminuir el número y la gravedad de las recaídas, retrasando la discapacidad acumulativa y previniendo la atrofia cerebral. Motivo de cambio: planificación de embarazo.</w:t>
      </w:r>
    </w:p>
    <w:p>
      <w:r>
        <w:rPr>
          <w:b w:val="0"/>
        </w:rPr>
        <w:t>Además, tratamiento sintomático: -Baclofeno (Lioresal): 40-80 mg/día por vía oral, indicado para espasticidad/hipertonía.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-Avonex: -Interferón beta 1a: 30 mcgrs., 1 vez/semana = 1 envase/28 días (4 aplicaciones).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