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HOSPITAL INTERZONAL GENERAL DE AGUDOS “SAN MARTIN”</w:t>
      </w:r>
    </w:p>
    <w:p>
      <w:pPr>
        <w:jc w:val="center"/>
      </w:pPr>
      <w:r>
        <w:rPr>
          <w:b/>
        </w:rPr>
        <w:t>HOSPITAL INTERZONAL GENERAL DE AGUDOS “Gral. SAN MARTIN” -La Plata-</w:t>
      </w:r>
    </w:p>
    <w:p>
      <w:pPr>
        <w:jc w:val="center"/>
      </w:pPr>
      <w:r>
        <w:rPr>
          <w:b/>
        </w:rPr>
        <w:t>SERVICIO DE NEUROLOGÍA</w:t>
      </w:r>
    </w:p>
    <w:p>
      <w:pPr>
        <w:jc w:val="center"/>
      </w:pPr>
      <w:r>
        <w:rPr>
          <w:b/>
        </w:rPr>
        <w:t>SECCIÓN DE ENFERMEDADES DESMIELINIZANTES                  URGENTE</w:t>
      </w:r>
    </w:p>
    <w:p/>
    <w:p>
      <w:pPr>
        <w:jc w:val="center"/>
      </w:pPr>
      <w:r>
        <w:rPr>
          <w:b/>
        </w:rPr>
        <w:t xml:space="preserve">     RESUMEN DE HISTORIA CLÍNICA.                                               La Plata, 02 de Octubre de 2020</w:t>
      </w:r>
    </w:p>
    <w:p/>
    <w:p>
      <w:r>
        <w:rPr>
          <w:b w:val="0"/>
        </w:rPr>
        <w:t>Apellido y nombre: Alvarez, Paola Andrea.    DNI: 46.723.178        Fecha de Nacimiento: 20/11/96</w:t>
      </w:r>
    </w:p>
    <w:p>
      <w:r>
        <w:rPr>
          <w:b w:val="0"/>
        </w:rPr>
        <w:t>Dirección: 60 e/ 1 y 2 Nº 455. La Plata. Teléfono: (0221)  403-5381 / 15- 1485753</w:t>
      </w:r>
    </w:p>
    <w:p>
      <w:r>
        <w:rPr>
          <w:b w:val="0"/>
        </w:rPr>
        <w:t>Obra Social: IOMA</w:t>
      </w:r>
    </w:p>
    <w:p>
      <w:r>
        <w:rPr>
          <w:b w:val="0"/>
        </w:rPr>
        <w:t xml:space="preserve">                       nº de afiliado: W51471222/00</w:t>
      </w:r>
    </w:p>
    <w:p>
      <w:r>
        <w:rPr>
          <w:b w:val="0"/>
        </w:rPr>
        <w:t>Asistida desde: 11/06/10</w:t>
      </w:r>
    </w:p>
    <w:p>
      <w:r>
        <w:rPr>
          <w:b w:val="0"/>
        </w:rPr>
        <w:t>Antecedente personales: -migraña + -hipertensión arterial + -hipotiroidismo en tratamiento + -tabaquismo + -alergia a abejas.-</w:t>
      </w:r>
    </w:p>
    <w:p>
      <w:r>
        <w:rPr>
          <w:b w:val="0"/>
        </w:rPr>
        <w:t>Antecedentes familiares: padre con HTA.</w:t>
      </w:r>
    </w:p>
    <w:p>
      <w:r>
        <w:rPr>
          <w:b w:val="0"/>
        </w:rPr>
        <w:t>Síntomas principales: en un curso muy claro de brotes y remisiones, desarrolló al menos dos recaídas compatibles con afección multifocal de la sustancia blanca del sistema nervioso central, como: -(1°) septiembre 2020: episodio sensitivo con parestesias/hipoestesia de distribución dorsal que duró meses y restituyó casi ad integrum -(2°) enero 2024: recaída de similares características, agregando mínimo componente motor y/o equilibrio. constipación pertinaz. disestesias con hiperestesias quemantes. disminución de la fuerza con torpeza motora. urgencia urinaria con episodios de incontinencia. dolor neuropático tipo fulgurante y Lhermitte. parestesias e hipoestesias. Evolución: -Libre de recaídas, sin requerimientos de corticoides en los últimos meses.</w:t>
      </w:r>
    </w:p>
    <w:p>
      <w:r>
        <w:rPr>
          <w:b w:val="0"/>
        </w:rPr>
        <w:t>Datos semiológicos: elementos esfinterianos vésico-rectales + R. Hoffman bilateral + elementos mínimos de bipiramidalismo.- EDSS: 1.5.-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Biomarcadores e Imagen:</w:t>
      </w:r>
    </w:p>
    <w:p>
      <w:r>
        <w:rPr>
          <w:b w:val="0"/>
        </w:rPr>
        <w:t>-Punción lumbar con evaluación del LCR: bandas oligoclonales de IgG: positivas.</w:t>
      </w:r>
    </w:p>
    <w:p>
      <w:r>
        <w:rPr>
          <w:b w:val="0"/>
        </w:rPr>
        <w:t>-Detección de Atrofia: No detectada.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-RMN de encéfalo 16/10/18: múltiples lesiones periventriculares, algunas hipointensas en T1 (agujeros negros), sin restricción en difusión. inactiva. Hallazgos cortical. sin realce con Gd.</w:t>
      </w:r>
    </w:p>
    <w:p>
      <w:r>
        <w:rPr>
          <w:b w:val="0"/>
        </w:rPr>
        <w:t>-RMN de c/ cervical-dorsal 14/05/16: lesión intramedular cervical C3-C4 con realce con Gd IV, compatible con desmielinización aguda. activa. Hallazgos infratentorial. realza con Gd +.</w:t>
      </w:r>
    </w:p>
    <w:p>
      <w:r>
        <w:rPr>
          <w:b w:val="0"/>
        </w:rPr>
        <w:t>-Potenciales Evocados: latencias bilaterales en límite superior de normalidad.</w:t>
      </w:r>
    </w:p>
    <w:p>
      <w:r>
        <w:rPr>
          <w:b w:val="0"/>
        </w:rPr>
        <w:t>-Punción lumbar con evaluación del LCR (16/10/18): bandas oligoclonales de IgG: Positivas.</w:t>
      </w:r>
    </w:p>
    <w:p>
      <w:r>
        <w:rPr>
          <w:b w:val="0"/>
        </w:rPr>
        <w:t>-RMN volumétrica: se describen signos de atrofia cerebral leve (disminución de volumen).</w:t>
      </w:r>
    </w:p>
    <w:p>
      <w:r>
        <w:rPr>
          <w:b w:val="0"/>
        </w:rPr>
        <w:t>Actividad Lesional Bianual (RMN):</w:t>
      </w:r>
    </w:p>
    <w:p>
      <w:r>
        <w:rPr>
          <w:b w:val="0"/>
        </w:rPr>
        <w:t>-Año 2019: Estado=Activo; Nuevas_T2=2; Gd+=0.</w:t>
      </w:r>
    </w:p>
    <w:p>
      <w:r>
        <w:rPr>
          <w:b w:val="0"/>
        </w:rPr>
        <w:t>-Año 2020: Estado=NEDA_RMN; Nuevas_T2=0; Gd+=0.</w:t>
      </w:r>
    </w:p>
    <w:p>
      <w:r>
        <w:rPr>
          <w:b w:val="0"/>
        </w:rPr>
        <w:t>-Potenciales Evocados: latencias bilaterales en límite superior de normalidad.</w:t>
      </w:r>
    </w:p>
    <w:p>
      <w:r>
        <w:rPr>
          <w:b w:val="0"/>
        </w:rPr>
        <w:t>Diagnóstico: Esclerosis Múltiple a Recaídas y Remisiones (OMS: 340).</w:t>
      </w:r>
    </w:p>
    <w:p>
      <w:r>
        <w:rPr>
          <w:b w:val="0"/>
        </w:rPr>
        <w:t>Comentario: el/la paciente debe continuar Urgente con la terapia inmunomoduladora: Interferón Beta 1a-recombinante (Blastoferón) 12 MUI (44Mcgrs.) c/u 3 veces/semana por vía SC. El objetivo es disminuir el número y la gravedad de las recaídas, retrasando la discapacidad acumulativa y previniendo la atrofia cerebral. Se trata de la dosificación ajustada según el estudio PRISMS. Motivo de cambio: falla por baja eficacia.</w:t>
      </w:r>
    </w:p>
    <w:p>
      <w:r>
        <w:rPr>
          <w:b w:val="0"/>
        </w:rPr>
        <w:t>Además, tratamiento sintomático: -Gabapentín (Neurontin): 600 mg/día por vía oral, indicado para dolor neuropático. -Baclofeno (Lioresal): 40-80 mg/día por vía oral, indicado para espasticidad/hipertonía. -Oxibutinina (Ditropan UD): 10-15 mg/día por vía oral, indicado para urgencia urinaria/incontinencia.</w:t>
      </w:r>
    </w:p>
    <w:p>
      <w:r>
        <w:rPr>
          <w:b w:val="0"/>
        </w:rPr>
        <w:t>Es un medicamento con cobertura 100% a cargo de la Obra Social, de acuerdo al PMO/APE. Aprobado por ANMAT con esta precisa indicación.</w:t>
      </w:r>
    </w:p>
    <w:p>
      <w:r>
        <w:rPr>
          <w:b w:val="0"/>
        </w:rPr>
        <w:t>Por ninguna razón debe discontinuarse su administración pues se correrían riesgos de recaídas con consecuencias a veces irreparables.</w:t>
      </w:r>
    </w:p>
    <w:p>
      <w:r>
        <w:rPr>
          <w:b w:val="0"/>
        </w:rPr>
        <w:t>Bibliografía respaldatoria: PRISMS (Lancet 1998; Neurology 2001). EVIDENCE (Neurology 2002).</w:t>
      </w:r>
    </w:p>
    <w:p>
      <w:r>
        <w:rPr>
          <w:b w:val="0"/>
        </w:rPr>
        <w:t>Solicito: URGENTE continuidad para: -Blastoferón: -Interferón Beta 1a-recombinante: 12 MUI (44Mcgrs.) c/u, 3 veces/semana = 1 envase/28 días (12 jeringas prellenadas).</w:t>
      </w:r>
    </w:p>
    <w:p>
      <w:r>
        <w:rPr>
          <w:b w:val="0"/>
        </w:rPr>
        <w:t xml:space="preserve">  Tratamiento Prolongado. -Ruego se respete la precisa indicación-</w:t>
      </w:r>
    </w:p>
    <w:p/>
    <w:p>
      <w:pPr>
        <w:jc w:val="right"/>
      </w:pPr>
      <w:r>
        <w:t xml:space="preserve">                                            Atte. Dr. Vétere  Santiago 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