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19 de Noviembre de 2024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-alergia a abejas + -cervicalgia.-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septiembre 2019: episodio sensitivo con parestesias/hipoestesia de distribución dorsal que duró meses y restituyó casi ad integrum -(2°) febrero 2022: recaída de similares características, agregando mínimo componente motor y/o equilibrio. urgencia urinaria con episodios de incontinencia. parestesias e hipoestesias. neuritis óptica / disminución de visión central. fatiga y termosensibilidad. trastornos del equilibrio y coordinación con marcha inestable. constipación pertinaz. Evolución: -Sin evidencia de actividad clínica reciente; controles radiológicos sin captación de gadolinio.</w:t>
      </w:r>
    </w:p>
    <w:p>
      <w:r>
        <w:rPr>
          <w:b w:val="0"/>
        </w:rPr>
        <w:t>Datos semiológicos: elementos mínimos de bipiramidalismo + Romberg + + R. Hoffman bilateral + elementos esfinterianos vésico-rectales + hemihipoestesia con nivel sensitivo dorsal.- EDSS: 1.0.-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10/11/24: lesiones desmielinizantes periventriculares y yuxtacorticales, sin captación de Gd IV(-) en el control. inactiva. sin realce con Gd. Región: infratentorial.</w:t>
      </w:r>
    </w:p>
    <w:p>
      <w:r>
        <w:rPr>
          <w:b w:val="0"/>
        </w:rPr>
        <w:t>-RMN de médula cervical y dorsal 25/06/22: imágenes focales en médula dorsal T3-T4 y T5-T6 con discreto realce con Gd IV(+). activa. sin realce con Gd. Región: medular.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(10/11/24): bandas oligoclonales de IgG: negativas.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 Motivo de cambio: efectos adversos / mala tolerancia.</w:t>
      </w:r>
    </w:p>
    <w:p>
      <w:r>
        <w:rPr>
          <w:b w:val="0"/>
        </w:rPr>
        <w:t>Además, tratamiento sintomático: -Baclofeno (Lioresal): 40-80 mg/día por vía oral, indicado para espasticidad/hipertonía.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