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17 de Febrero de 2023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-ansiedad + -alergia a abejas + -diabetes tipo 2 + -EPOC leve.-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2013: episodio sensitivo con parestesias/hipoestesia de distribución dorsal que duró meses y restituyó casi ad integrum -(2°) febrero 2016: recaída de similares características, agregando mínimo componente motor y/o equilibrio. fatiga y termosensibilidad. constipación pertinaz. urgencia urinaria con episodios de incontinencia. trastornos del equilibrio y coordinación con marcha inestable. dolor neuropático tipo fulgurante y Lhermitte. neuritis óptica / disminución de visión central.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ataxia axial leve + Romberg +.-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26/04/21: múltiples imágenes focales cerebrales en la sustancia blanca a predominio periventriculares bilaterales pericallosas (n°≥ 15), con algunas captando Gd IV(+) compatibles con actividad. activa. realza con Gd +. Región: yuxtacortical.</w:t>
      </w:r>
    </w:p>
    <w:p>
      <w:r>
        <w:rPr>
          <w:b w:val="0"/>
        </w:rPr>
        <w:t>-RMN de médula cervical y dorsal 07/07/21: imágenes focales en médula dorsal T3-T4 y T5-T6 con discreto realce con Gd IV(+). inactiva. sin realce con Gd. Región: periventricular.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(26/04/21):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