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28 de Noviembre de 2024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-diabetes tipo 2 + -migraña + -tabaquismo + -EPOC leve.-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septiembre 2021: episodio sensitivo con parestesias/hipoestesia de distribución dorsal que duró meses y restituyó casi ad integrum -(2°) febrero 2023: recaída de similares características, agregando mínimo componente motor y/o equilibrio. disminución de la fuerza con torpeza motora. parestesias e hipoestesias. fatiga y termosensibilidad. dolor neuropático tipo fulgurante y Lhermitte. neuritis óptica / disminución de visión central. Evolución: -Sin evidencia de actividad clínica reciente; controles radiológicos sin captación de gadolinio.</w:t>
      </w:r>
    </w:p>
    <w:p>
      <w:r>
        <w:rPr>
          <w:b w:val="0"/>
        </w:rPr>
        <w:t>Datos semiológicos: elementos mínimos de bipiramidalismo + elementos esfinterianos vésico-rectales + ataxia axial leve + Romberg +.-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27/04/20: múltiples imágenes focales cerebrales en la sustancia blanca a predominio periventriculares bilaterales pericallosas (n°≥ 15), con algunas captando Gd IV(+) compatibles con actividad. inactiva. sin realce con Gd. Región: periventricular.</w:t>
      </w:r>
    </w:p>
    <w:p>
      <w:r>
        <w:rPr>
          <w:b w:val="0"/>
        </w:rPr>
        <w:t>-RMN de médula cervical y dorsal 10/06/22: lesión intramedular cervical C3-C4 con realce con Gd IV, compatible con desmielinización aguda. inactiva. sin realce con Gd. Región: medular.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(27/04/20):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