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13 de Octubre de 2024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-síndrome de túnel carpiano + -hipertensión arterial + -migraña.-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2015: episodio sensitivo con parestesias/hipoestesia de distribución dorsal que duró meses y restituyó casi ad integrum -(2°) mayo 2017: recaída de similares características, agregando mínimo componente motor y/o equilibrio. urgencia urinaria con episodios de incontinencia. parestesias e hipoestesias. trastornos del equilibrio y coordinación con marcha inestable. constipación pertinaz. neuritis óptica / disminución de visión central. disminución de la fuerza con torpeza motora.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Romberg + + elementos mínimos de bipiramidalismo + ataxia axial leve.- EDSS: 6.0.-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26/03/24: múltiples imágenes focales cerebrales en la sustancia blanca a predominio periventriculares bilaterales pericallosas (n°≥ 15), con algunas captando Gd IV(+) compatibles con actividad. activa. sin realce con Gd. Región: infratentorial.</w:t>
      </w:r>
    </w:p>
    <w:p>
      <w:r>
        <w:rPr>
          <w:b w:val="0"/>
        </w:rPr>
        <w:t>-RMN de médula cervical y dorsal 20/07/24: lesión intramedular cervical C3-C4 con realce con Gd IV, compatible con desmielinización aguda. inactiva. sin realce con Gd. Región: periventricular.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(26/03/24):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baja eficacia.</w:t>
      </w:r>
    </w:p>
    <w:p>
      <w:r>
        <w:rPr>
          <w:b w:val="0"/>
        </w:rPr>
        <w:t>Además, tratamiento sintomático: -Baclofeno (Lioresal): 40-80 mg/día por vía oral, indicado para espasticidad/hipertonía.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