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16 de Septiembre de 2021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-rosácea + -síndrome de túnel carpiano.-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2022: episodio sensitivo con parestesias/hipoestesia de distribución dorsal que duró meses y restituyó casi ad integrum -(2°) marzo 2024: recaída de similares características, agregando mínimo componente motor y/o equilibrio. fatiga y termosensibilidad. neuritis óptica / disminución de visión central. disminución de la fuerza con torpeza motora. disestesias con hiperestesias quemantes. trastornos del equilibrio y coordinación con marcha inestable. Evolución: -Sin evidencia de actividad clínica reciente; controles radiológicos sin captación de gadolinio.</w:t>
      </w:r>
    </w:p>
    <w:p>
      <w:r>
        <w:rPr>
          <w:b w:val="0"/>
        </w:rPr>
        <w:t>Datos semiológicos: hemihipoestesia con nivel sensitivo dorsal + elementos esfinterianos vésico-rectales + elementos mínimos de bipiramidalismo + síndrome bipiramidal a predominio crural + R. Hoffman bilateral.-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10/11/17: lesiones desmielinizantes periventriculares y yuxtacorticales, sin captación de Gd IV(-) en el control. activa. realza con Gd +. Región: periventricular.</w:t>
      </w:r>
    </w:p>
    <w:p>
      <w:r>
        <w:rPr>
          <w:b w:val="0"/>
        </w:rPr>
        <w:t>-RMN de médula cervical y dorsal 05/04/17: sin imágenes focales espinales evidentes en el control. activa. sin realce con Gd. Región: periventricular.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(10/11/17):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baja eficacia.</w:t>
      </w:r>
    </w:p>
    <w:p>
      <w:r>
        <w:rPr>
          <w:b w:val="0"/>
        </w:rPr>
        <w:t>Además, tratamiento sintomático: -Tizanidina (Sirdalud): 6-12 mg/día por vía oral, indicado para espasticidad.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