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14 de Febrero de 2025</w:t>
      </w:r>
    </w:p>
    <w:p/>
    <w:p>
      <w:r>
        <w:rPr>
          <w:b w:val="0"/>
        </w:rPr>
        <w:t>Apellido y nombre: Pérez, Florencia.    DNI: 27.588.477        Fecha de Nacimiento: 04/02/79</w:t>
      </w:r>
    </w:p>
    <w:p>
      <w:r>
        <w:rPr>
          <w:b w:val="0"/>
        </w:rPr>
        <w:t>Dirección: calle 650 e/ 2 y 3 s/n° 427. La Plata. Teléfono: (0221)  445-6635 / 15- 5437923</w:t>
      </w:r>
    </w:p>
    <w:p>
      <w:r>
        <w:rPr>
          <w:b w:val="0"/>
        </w:rPr>
        <w:t>Obra Social: OSDE</w:t>
      </w:r>
    </w:p>
    <w:p>
      <w:r>
        <w:rPr>
          <w:b w:val="0"/>
        </w:rPr>
        <w:t xml:space="preserve">                       nº de afiliado: X71662963/00</w:t>
      </w:r>
    </w:p>
    <w:p>
      <w:r>
        <w:rPr>
          <w:b w:val="0"/>
        </w:rPr>
        <w:t>Asistida desde: 18/02/22</w:t>
      </w:r>
    </w:p>
    <w:p>
      <w:r>
        <w:rPr>
          <w:b w:val="0"/>
        </w:rPr>
        <w:t>Antecedente personales: -hipotiroidismo en tratamiento + -diabetes tipo 2.-</w:t>
      </w:r>
    </w:p>
    <w:p>
      <w:r>
        <w:rPr>
          <w:b w:val="0"/>
        </w:rPr>
        <w:t>Antecedentes familiares: abuela materna con LLC.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julio 2015: episodio sensitivo con parestesias/hipoestesia de distribución dorsal que duró meses y restituyó casi ad integrum -(2°) abril 2019: recaída de similares características, agregando mínimo componente motor y/o equilibrio. dolor neuropático tipo fulgurante y Lhermitte. trastornos del equilibrio y coordinación con marcha inestable. disestesias con hiperestesias quemantes. urgencia urinaria con episodios de incontinencia. Evolución: -Libre de recaídas, sin requerimientos de corticoides en los últimos meses.</w:t>
      </w:r>
    </w:p>
    <w:p>
      <w:r>
        <w:rPr>
          <w:b w:val="0"/>
        </w:rPr>
        <w:t>Datos semiológicos: ataxia axial leve + elementos esfinterianos vésico-rectales + R. Hoffman bilateral + Romberg +.- EDSS: 5.0.-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15/08/24: múltiples lesiones periventriculares, algunas hipointensas en T1 (agujeros negros), sin restricción en difusión. activa. sin realce con Gd. Región: periventricular.</w:t>
      </w:r>
    </w:p>
    <w:p>
      <w:r>
        <w:rPr>
          <w:b w:val="0"/>
        </w:rPr>
        <w:t>-RMN de médula cervical y dorsal 19/12/23: lesión intramedular cervical C3-C4 con realce con Gd IV, compatible con desmielinización aguda. inactiva. sin realce con Gd. Región: periventricular.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-Punción lumbar con evaluación del LCR (15/08/24): bandas oligoclonales de IgG: negativas.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1ª-r (libre de albúmina) (Rebif) 12 MUI (44 mcgrs.) c/u 3 veces/semana por vía SC. El objetivo es disminuir el número y la gravedad de las recaídas, retrasando la discapacidad acumulativa y previniendo la atrofia cerebral. Se trata de la dosificación ajustada según el estudio PRISMS. Motivo de cambio: falla por actividad radiológica.</w:t>
      </w:r>
    </w:p>
    <w:p>
      <w:r>
        <w:rPr>
          <w:b w:val="0"/>
        </w:rPr>
        <w:t>Además, tratamiento sintomático: -Pregabalina (Lyrica): 150-300 mg/día por vía oral, indicado para dolor neuropático. -Baclofeno (Lioresal): 40-80 mg/día por vía oral, indicado para espasticidad/hipertonía. -Mirabegrón (Betmiga): 50 mg/día por vía oral, indicado para urgencia urinaria.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-Rebif: -Interferón beta 1ª-r (libre de albúmina): 12 MUI (44 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