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07 de Enero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-síndrome de túnel carpiano + -diabetes tipo 2.-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2014: episodio sensitivo con parestesias/hipoestesia de distribución dorsal que duró meses y restituyó casi ad integrum -(2°) abril 2016: recaída de similares características, agregando mínimo componente motor y/o equilibrio. parestesias e hipoestesias. crisis vertiginosas. disestesias con hiperestesias quemantes. disminución de la fuerza con torpeza motora. constipación pertinaz. urgencia urinaria con episodios de incontinencia. Evolución: -Sin evidencia de actividad clínica reciente; controles radiológicos sin captación de gadolinio.</w:t>
      </w:r>
    </w:p>
    <w:p>
      <w:r>
        <w:rPr>
          <w:b w:val="0"/>
        </w:rPr>
        <w:t>Datos semiológicos: ataxia axial leve + hemihipoestesia con nivel sensitivo dorsal + R. Hoffman bilateral.-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06/12/21: lesiones desmielinizantes periventriculares y yuxtacorticales, sin captación de Gd IV(-) en el control. inactiva. sin realce con Gd. Región: periventricular.</w:t>
      </w:r>
    </w:p>
    <w:p>
      <w:r>
        <w:rPr>
          <w:b w:val="0"/>
        </w:rPr>
        <w:t>-RMN de médula cervical y dorsal 01/09/22: imágenes focales en médula dorsal T3-T4 y T5-T6 con discreto realce con Gd IV(+). activa. sin realce con Gd. Región: periventricular.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(06/12/21):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