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05 de Diciembre de 2022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-rosácea + -EPOC leve + -hipotiroidismo en tratamiento.-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2020: episodio sensitivo con parestesias/hipoestesia de distribución dorsal que duró meses y restituyó casi ad integrum -(2°) julio 2024: recaída de similares características, agregando mínimo componente motor y/o equilibrio. trastornos del equilibrio y coordinación con marcha inestable. crisis vertiginosas. fatiga y termosensibilidad. urgencia urinaria con episodios de incontinencia. Evolución: -Libre de recaídas, sin requerimientos de corticoides en los últimos meses.</w:t>
      </w:r>
    </w:p>
    <w:p>
      <w:r>
        <w:rPr>
          <w:b w:val="0"/>
        </w:rPr>
        <w:t>Datos semiológicos: ataxia axial leve + R. Hoffman bilateral + elementos esfinterianos vésico-rectales + síndrome bipiramidal a predominio crural + Romberg +.-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09/01/18: lesiones desmielinizantes periventriculares y yuxtacorticales, sin captación de Gd IV(-) en el control. activa. realza con Gd +. Región: infratentorial.</w:t>
      </w:r>
    </w:p>
    <w:p>
      <w:r>
        <w:rPr>
          <w:b w:val="0"/>
        </w:rPr>
        <w:t>-RMN de médula cervical y dorsal 27/02/20: imágenes focales en médula dorsal T3-T4 y T5-T6 con discreto realce con Gd IV(+). inactiva. sin realce con Gd. Región: medular.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(09/01/18):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preferencia del paciente / adherencia.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