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16 de Septiembre de 2025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-migraña + -hipotiroidismo en tratamiento + -diabetes tipo 2 + -rosácea.-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noviembre 2015: episodio sensitivo con parestesias/hipoestesia de distribución dorsal que duró meses y restituyó casi ad integrum -(2°) abril 2018: recaída de similares características, agregando mínimo componente motor y/o equilibrio. fatiga y termosensibilidad. constipación pertinaz. crisis vertiginosas. trastornos del equilibrio y coordinación con marcha inestable. disestesias con hiperestesias quemantes. neuritis óptica / disminución de visión central. Evolución: -Buena respuesta clínica, sin brotes recientes y adecuada tolerancia al tratamiento.</w:t>
      </w:r>
    </w:p>
    <w:p>
      <w:r>
        <w:rPr>
          <w:b w:val="0"/>
        </w:rPr>
        <w:t>Datos semiológicos: elementos mínimos de bipiramidalismo + hemihipoestesia con nivel sensitivo dorsal + ataxia axial leve + R. Hoffman bilateral + Romberg +.-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28/04/23: lesiones desmielinizantes periventriculares y yuxtacorticales, sin captación de Gd IV(-) en el control. inactiva. sin realce con Gd. Región: yuxtacortical.</w:t>
      </w:r>
    </w:p>
    <w:p>
      <w:r>
        <w:rPr>
          <w:b w:val="0"/>
        </w:rPr>
        <w:t>-RMN de médula cervical y dorsal 11/01/23: sin imágenes focales espinales evidentes en el control. inactiva. sin realce con Gd. Región: periventricular.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(28/04/23): bandas oligoclonales de IgG: negativas.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