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20 de Mayo de 2018</w:t>
      </w:r>
    </w:p>
    <w:p/>
    <w:p>
      <w:r>
        <w:rPr>
          <w:b w:val="0"/>
        </w:rPr>
        <w:t>Apellido y nombre: López, Julieta.    DNI: 11.655.753        Fecha de Nacimiento: 26/12/62</w:t>
      </w:r>
    </w:p>
    <w:p>
      <w:r>
        <w:rPr>
          <w:b w:val="0"/>
        </w:rPr>
        <w:t>Dirección: 32 e/ 20 y 21 Nº 1550. La Plata. Teléfono: (0221)  483-4522 / 15- 8215376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H65541117/00</w:t>
      </w:r>
    </w:p>
    <w:p>
      <w:r>
        <w:rPr>
          <w:b w:val="0"/>
        </w:rPr>
        <w:t>Asistida desde: 11/08/22</w:t>
      </w:r>
    </w:p>
    <w:p>
      <w:r>
        <w:rPr>
          <w:b w:val="0"/>
        </w:rPr>
        <w:t>Antecedente personales: -cervicalgia + -hipotiroidismo en tratamiento + -tabaquismo + -ansiedad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2014: episodio sensitivo con parestesias/hipoestesia de distribución dorsal que duró meses y restituyó casi ad integrum -(2°) mayo 2017: recaída de similares características, agregando mínimo componente motor y/o equilibrio. constipación pertinaz. urgencia urinaria con episodios de incontinencia. fatiga y termosensibilidad. disminución de la fuerza con torpeza motora. disestesias con hiperestesias quemantes. Evolución: -Sin evidencia de actividad clínica reciente; controles radiológicos sin captación de gadolinio.</w:t>
      </w:r>
    </w:p>
    <w:p>
      <w:r>
        <w:rPr>
          <w:b w:val="0"/>
        </w:rPr>
        <w:t>Datos semiológicos: hemihipoestesia con nivel sensitivo dorsal + Romberg + + elementos esfinterianos vésico-rectales + R. Hoffman bilateral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28/06/13: múltiples lesiones periventriculares, algunas hipointensas en T1 (agujeros negros), sin restricción en difusión. inactiva. sin realce con Gd. Región: yuxtacortical.</w:t>
      </w:r>
    </w:p>
    <w:p>
      <w:r>
        <w:rPr>
          <w:b w:val="0"/>
        </w:rPr>
        <w:t>-RMN de médula cervical y dorsal 04/06/17: lesión intramedular cervical C3-C4 con realce con Gd IV, compatible con desmielinización aguda. inactiva. sin realce con Gd. Región: infratentorial.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(28/06/13):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