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12 de Octubre de 2018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-EPOC leve + -alergia a abejas + -hipotiroidismo en tratamiento + -síndrome de túnel carpiano.-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2021: episodio sensitivo con parestesias/hipoestesia de distribución dorsal que duró meses y restituyó casi ad integrum -(2°) marzo 2023: recaída de similares características, agregando mínimo componente motor y/o equilibrio. urgencia urinaria con episodios de incontinencia. fatiga y termosensibilidad. neuritis óptica / disminución de visión central. parestesias e hipoestesias. dolor neuropático tipo fulgurante y Lhermitte. trastornos del equilibrio y coordinación con marcha inestable. Evolución: -Buena respuesta clínica, sin brotes recientes y adecuada tolerancia al tratamiento.</w:t>
      </w:r>
    </w:p>
    <w:p>
      <w:r>
        <w:rPr>
          <w:b w:val="0"/>
        </w:rPr>
        <w:t>Datos semiológicos: Romberg + + R. Hoffman bilateral + ataxia axial leve + hemihipoestesia con nivel sensitivo dorsal.-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17/06/17: múltiples lesiones periventriculares, algunas hipointensas en T1 (agujeros negros), sin restricción en difusión. activa. sin realce con Gd. Región: yuxtacortical.</w:t>
      </w:r>
    </w:p>
    <w:p>
      <w:r>
        <w:rPr>
          <w:b w:val="0"/>
        </w:rPr>
        <w:t>-RMN de médula cervical y dorsal 27/05/17: lesión intramedular cervical C3-C4 con realce con Gd IV, compatible con desmielinización aguda. inactiva. sin realce con Gd. Región: infratentorial.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(17/06/17):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-Oxibutinina (Ditropan UD): 10-15 mg/día por vía oral, indicado para urgencia urinaria/incontinencia.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