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23 de Agosto de 2023</w:t>
      </w:r>
    </w:p>
    <w:p/>
    <w:p>
      <w:r>
        <w:rPr>
          <w:b w:val="0"/>
        </w:rPr>
        <w:t>Apellido y nombre: Fernández, Juan Pablo.    DNI: 47.280.079        Fecha de Nacimiento: 06/12/1980</w:t>
      </w:r>
    </w:p>
    <w:p>
      <w:r>
        <w:rPr>
          <w:b w:val="0"/>
        </w:rPr>
        <w:t>Dirección: 7 y 526. Tolosa, La Plata. Teléfono: (0221)  470-1224 / 15- 7844947</w:t>
      </w:r>
    </w:p>
    <w:p>
      <w:r>
        <w:rPr>
          <w:b w:val="0"/>
        </w:rPr>
        <w:t>Obra Social: IOMA      nº de afiliado: D71934487/00</w:t>
      </w:r>
    </w:p>
    <w:p>
      <w:r>
        <w:rPr>
          <w:b w:val="0"/>
        </w:rPr>
        <w:t>Asistida desde: 04/11/14</w:t>
      </w:r>
    </w:p>
    <w:p>
      <w:r>
        <w:rPr>
          <w:b w:val="0"/>
        </w:rPr>
        <w:t>Antecedente personales: -rosácea + -migraña.-</w:t>
      </w:r>
    </w:p>
    <w:p>
      <w:r>
        <w:rPr>
          <w:b w:val="0"/>
        </w:rPr>
        <w:t>Antecedentes familiares: padre con HTA.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2016: episodio sensitivo con parestesias que restituyó ad integrum -(Actual) August 2023: presenta nuevo episodio motor con debilidad crural derecha.. crisis vertiginosas. trastornos del equilibrio y coordinación con marcha inestable. dolor neuropático tipo fulgurante y Lhermitte. fatiga y termosensibilidad. disestesias con hiperestesias quemantes. Evolución: Presentó recaída clínica reciente. Se constata progresión del EDSS y actividad radiológica.</w:t>
      </w:r>
    </w:p>
    <w:p>
      <w:r>
        <w:rPr>
          <w:b w:val="0"/>
        </w:rPr>
        <w:t>Datos semiológicos: elementos mínimos de bipiramidalismo + R. Hoffman bilateral + elementos esfinterianos vésico-rectales + ataxia axial leve.- EDSS: 3.5.-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(23/08/2023): lesiones desmielinizantes periventriculares y yuxtacorticales. Se observan 2 nuevas lesiones T2, una de ellas con realce de Gadolinio (+). Actividad inflamatoria. (Activa, Gd Positiva).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Cladribina (Mavenclad) 10 mg Ciclos anuales (Semana 1 y 5) por vía Oral. El objetivo es disminuir el número y la gravedad de las recaídas, retrasando la discapacidad acumulativa y previniendo la atrofia cerebral. Se trata de la dosificación ajustada según el estudio CLARITY. Motivo de la indicación: inicio tratamiento.</w:t>
      </w:r>
    </w:p>
    <w:p>
      <w:r>
        <w:rPr>
          <w:b w:val="0"/>
        </w:rPr>
        <w:t>Además, tratamiento sintomático: -Pregabalina: 150-300 mg/día (dolor neuropático). -Tizanidina: 6-12 mg/día (espasticidad).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-Mavenclad (Cladribina): 10 mg, Ciclos anuales (Semana 1 y 5) = Caja x tabletas.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