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20 de Septiembre de 2019</w:t>
      </w:r>
    </w:p>
    <w:p/>
    <w:p>
      <w:r>
        <w:rPr>
          <w:b w:val="0"/>
        </w:rPr>
        <w:t>Apellido y nombre: Gómez, Federico.    DNI: 21.434.414        Fecha de Nacimiento: 24/03/1979</w:t>
      </w:r>
    </w:p>
    <w:p>
      <w:r>
        <w:rPr>
          <w:b w:val="0"/>
        </w:rPr>
        <w:t>Dirección: calle 650 e/ 2 y 3 s/n° 427. La Plata. Teléfono: (0221)  486-9935 / 15- 2458591</w:t>
      </w:r>
    </w:p>
    <w:p>
      <w:r>
        <w:rPr>
          <w:b w:val="0"/>
        </w:rPr>
        <w:t>Obra Social: IOMA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-tabaquismo + -EPOC leve + -hipotiroidismo en tratamiento + -cervicalgia.-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2010: episodio sensitivo con parestesias que restituyó ad integrum -(Actual) September 2019: presenta nuevo episodio motor con debilidad crural derecha.. trastornos del equilibrio y coordinación con marcha inestable. crisis vertiginosas. fatiga y termosensibilidad. constipación pertinaz. parestesias e hipoestesias. Evolución: Presentó recaída clínica reciente. Se constata progresión del EDSS y actividad radiológica.</w:t>
      </w:r>
    </w:p>
    <w:p>
      <w:r>
        <w:rPr>
          <w:b w:val="0"/>
        </w:rPr>
        <w:t>Datos semiológicos: elementos esfinterianos vésico-rectales + hemihipoestesia con nivel sensitivo dorsal + síndrome bipiramidal a predominio crural.-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(20/09/2019): lesiones desmielinizantes periventriculares y yuxtacorticales. Se observan 2 nuevas lesiones T2, una de ellas con realce de Gadolinio (+). Actividad inflamatoria. (Activa, Gd Positiva).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Cladribina (Mavenclad) 10 mg Ciclos anuales (Semana 1 y 5) por vía Oral. El objetivo es disminuir el número y la gravedad de las recaídas, retrasando la discapacidad acumulativa y previniendo la atrofia cerebral. Se trata de la dosificación ajustada según el estudio CLARITY. Motivo de la indicación: inicio tratamiento.</w:t>
      </w:r>
    </w:p>
    <w:p>
      <w:r>
        <w:rPr>
          <w:b w:val="0"/>
        </w:rPr>
        <w:t>Además, tratamiento sintomático: -Tizanidina: 6-12 mg/día (espasticidad).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-Mavenclad (Cladribina): 10 mg, Ciclos anuales (Semana 1 y 5) = Caja x tabletas.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