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</w:rPr>
        <w:t>HOSPITAL INTERZONAL GENERAL DE AGUDOS “Gral. SAN MARTIN” -La Plata-</w:t>
      </w:r>
    </w:p>
    <w:p>
      <w:pPr>
        <w:jc w:val="center"/>
      </w:pPr>
      <w:r>
        <w:rPr>
          <w:b/>
        </w:rPr>
        <w:t>SERVICIO DE NEUROLOGÍA - SECCIÓN DE ENFERMEDADES DESMIELINIZANTES</w:t>
      </w:r>
    </w:p>
    <w:p/>
    <w:p>
      <w:pPr>
        <w:jc w:val="center"/>
      </w:pPr>
      <w:r>
        <w:rPr>
          <w:b/>
        </w:rPr>
        <w:t>RESUMEN DE HISTORIA CLÍNICA</w:t>
      </w:r>
    </w:p>
    <w:p>
      <w:pPr>
        <w:jc w:val="center"/>
      </w:pPr>
      <w:r>
        <w:rPr>
          <w:b w:val="0"/>
        </w:rPr>
        <w:t>La Plata, 13 de Junio de 2019</w:t>
      </w:r>
    </w:p>
    <w:p/>
    <w:p>
      <w:r>
        <w:rPr>
          <w:b w:val="0"/>
        </w:rPr>
        <w:t>Apellido y nombre: Alvarez, María Laura.    DNI: 39.891.263        Fecha de Nacimiento: 14/06/1977</w:t>
      </w:r>
    </w:p>
    <w:p>
      <w:r>
        <w:rPr>
          <w:b w:val="0"/>
        </w:rPr>
        <w:t>Dirección: calle 650 e/ 2 y 3 s/n° 427. La Plata. Teléfono: (0221)  485-6409 / 15- 6266630</w:t>
      </w:r>
    </w:p>
    <w:p>
      <w:r>
        <w:rPr>
          <w:b w:val="0"/>
        </w:rPr>
        <w:t>Obra Social: OSDE      nº de afiliado: D50308572/00</w:t>
      </w:r>
    </w:p>
    <w:p>
      <w:r>
        <w:rPr>
          <w:b w:val="0"/>
        </w:rPr>
        <w:t>Asistida desde: 17/05/23</w:t>
      </w:r>
    </w:p>
    <w:p>
      <w:r>
        <w:rPr>
          <w:b w:val="0"/>
        </w:rPr>
        <w:t>Antecedente personales: -alergia a abejas + -síndrome de túnel carpiano + -hipotiroidismo en tratamiento + -hipertensión arterial + -EPOC leve.-</w:t>
      </w:r>
    </w:p>
    <w:p>
      <w:r>
        <w:rPr>
          <w:b w:val="0"/>
        </w:rPr>
        <w:t>Antecedentes familiares: abuela materna con LLC.</w:t>
      </w:r>
    </w:p>
    <w:p>
      <w:r>
        <w:rPr>
          <w:b w:val="0"/>
        </w:rPr>
        <w:t>Síntomas principales: en un curso muy claro de brotes y remisiones, desarrolló al menos dos recaídas compatibles con afección multifocal de la sustancia blanca del sistema nervioso central, como: -(1°) octubre 2013: episodio sensitivo con parestesias que restituyó ad integrum. constipación pertinaz. disminución de la fuerza con torpeza motora. fatiga y termosensibilidad. trastornos del equilibrio y coordinación con marcha inestable. crisis vertiginosas. Evolución: Libre de recaídas clínicas en el último año. Estabilidad clínica y radiológica.</w:t>
      </w:r>
    </w:p>
    <w:p>
      <w:r>
        <w:rPr>
          <w:b w:val="0"/>
        </w:rPr>
        <w:t>Datos semiológicos: síndrome bipiramidal a predominio crural + ataxia axial leve + elementos mínimos de bipiramidalismo.- EDSS: 3.0.-</w:t>
      </w:r>
    </w:p>
    <w:p>
      <w:r>
        <w:rPr>
          <w:b w:val="0"/>
        </w:rPr>
        <w:t>Estudios realizados: entre otros: -Laboratorio de rutina completo (hemograma, hepatograma, función renal, TSH/T4L según corresponda).</w:t>
      </w:r>
    </w:p>
    <w:p>
      <w:r>
        <w:rPr>
          <w:b w:val="0"/>
        </w:rPr>
        <w:t>-RMN de cerebro (13/06/2019): múltiples lesiones periventriculares, algunas hipointensas en T1 (agujeros negros). Sin cambios significativos respecto a estudios previos. (Inactiva, Gd Negativa). (Inactiva, Gd Negativa).</w:t>
      </w:r>
    </w:p>
    <w:p>
      <w:r>
        <w:rPr>
          <w:b w:val="0"/>
        </w:rPr>
        <w:t>-RMN de médula: Sin cambios focales espinales evidentes en el control.</w:t>
      </w:r>
    </w:p>
    <w:p>
      <w:r>
        <w:rPr>
          <w:b w:val="0"/>
        </w:rPr>
        <w:t>-Potenciales Evocados Visuales: P100 OD 112 ms / OI 108 ms.</w:t>
      </w:r>
    </w:p>
    <w:p>
      <w:r>
        <w:rPr>
          <w:b w:val="0"/>
        </w:rPr>
        <w:t>-Punción lumbar con evaluación del LCR: bandas oligoclonales de IgG Positivas (Tipo 2).</w:t>
      </w:r>
    </w:p>
    <w:p>
      <w:r>
        <w:rPr>
          <w:b w:val="0"/>
        </w:rPr>
        <w:t>Diagnóstico: Esclerosis Múltiple Forma RR. (CIE-10 G35).</w:t>
      </w:r>
    </w:p>
    <w:p>
      <w:r>
        <w:rPr>
          <w:b w:val="0"/>
        </w:rPr>
        <w:t>Comentario: la paciente debe continuar Urgente con la terapia inmunomoduladora: Natalizumab (Tysabri) 300 mg Mensual (cada 28 días) por vía EV. El objetivo es disminuir el número y la gravedad de las recaídas, retrasando la discapacidad acumulativa y previniendo la atrofia cerebral. Se trata de la dosificación ajustada según el estudio AFFIRM. Motivo de la indicación: inicio tratamiento.</w:t>
      </w:r>
    </w:p>
    <w:p>
      <w:r>
        <w:rPr>
          <w:b w:val="0"/>
        </w:rPr>
        <w:t>Además, tratamiento sintomático: -Baclofeno: 40-80 mg/día (espasticidad/hipertonía).</w:t>
      </w:r>
    </w:p>
    <w:p>
      <w:r>
        <w:rPr>
          <w:b w:val="0"/>
        </w:rPr>
        <w:t>Es un medicamento con cobertura 100% a cargo de la Obra Social, de acuerdo al PMO/APE. Aprobado por ANMAT con esta precisa indicación.</w:t>
      </w:r>
    </w:p>
    <w:p>
      <w:r>
        <w:rPr>
          <w:b w:val="0"/>
        </w:rPr>
        <w:t>Por ninguna razón debe discontinuarse su administración pues se correrían riesgos de recaídas con consecuencias a veces irreparables.</w:t>
      </w:r>
    </w:p>
    <w:p>
      <w:r>
        <w:rPr>
          <w:b w:val="0"/>
        </w:rPr>
        <w:t>Bibliografía respaldatoria: PRISMS (Lancet 1998); AFFIRM (NEJM 2006); CLARITY (NEJM 2010).</w:t>
      </w:r>
    </w:p>
    <w:p>
      <w:r>
        <w:rPr>
          <w:b w:val="0"/>
        </w:rPr>
        <w:t>Solicito: URGENTE continuidad para: -Tysabri (Natalizumab): 300 mg, Mensual (cada 28 días) = 1 vial.</w:t>
      </w:r>
    </w:p>
    <w:p>
      <w:r>
        <w:rPr>
          <w:b w:val="0"/>
        </w:rPr>
        <w:t>Tratamiento Prolongado. -Ruego se respete la precisa indicación-</w:t>
      </w:r>
    </w:p>
    <w:p/>
    <w:p>
      <w:pPr>
        <w:jc w:val="right"/>
      </w:pPr>
      <w:r>
        <w:t xml:space="preserve">                                            Atte. Dr. Vétere Santiago A.</w:t>
        <w:br/>
        <w:t xml:space="preserve">                                            Neurología Clínica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