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18 de Julio de 2023</w:t>
      </w:r>
    </w:p>
    <w:p/>
    <w:p>
      <w:r>
        <w:rPr>
          <w:b w:val="0"/>
        </w:rPr>
        <w:t>Apellido y nombre: Alvarez, María Laura.    DNI: 39.891.263        Fecha de Nacimiento: 14/06/1977</w:t>
      </w:r>
    </w:p>
    <w:p>
      <w:r>
        <w:rPr>
          <w:b w:val="0"/>
        </w:rPr>
        <w:t>Dirección: calle 650 e/ 2 y 3 s/n° 427. La Plata. Teléfono: (0221)  485-6409 / 15- 6266630</w:t>
      </w:r>
    </w:p>
    <w:p>
      <w:r>
        <w:rPr>
          <w:b w:val="0"/>
        </w:rPr>
        <w:t>Obra Social: OSDE      nº de afiliado: D50308572/00</w:t>
      </w:r>
    </w:p>
    <w:p>
      <w:r>
        <w:rPr>
          <w:b w:val="0"/>
        </w:rPr>
        <w:t>Asistida desde: 17/05/23</w:t>
      </w:r>
    </w:p>
    <w:p>
      <w:r>
        <w:rPr>
          <w:b w:val="0"/>
        </w:rPr>
        <w:t>Antecedente personales: -hipertensión arterial + -tabaquismo + -diabetes tipo 2.-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2014: episodio sensitivo con parestesias que restituyó ad integrum. dolor neuropático tipo fulgurante y Lhermitte. trastornos del equilibrio y coordinación con marcha inestable. crisis vertiginosas. disestesias con hiperestesias quemantes. disminución de la fuerza con torpeza motora. neuritis óptica / disminución de visión central. Evolución: Libre de recaídas clínicas en el último año. Estabilidad clínica y radiológica.</w:t>
      </w:r>
    </w:p>
    <w:p>
      <w:r>
        <w:rPr>
          <w:b w:val="0"/>
        </w:rPr>
        <w:t>Datos semiológicos: Romberg + + hemihipoestesia con nivel sensitivo dorsal + síndrome bipiramidal a predominio crural + elementos esfinterianos vésico-rectales.-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(18/07/2023): múltiples imágenes focales cerebrales en la sustancia blanca a predominio periventriculares bilaterales pericallosas (n°≥ 15).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Fingolimod (Gilenya) 0.5 mg 1 vez/día por vía Oral. El objetivo es disminuir el número y la gravedad de las recaídas, retrasando la discapacidad acumulativa y previniendo la atrofia cerebral. Se trata de la dosificación ajustada según el estudio FREEDOMS.</w:t>
      </w:r>
    </w:p>
    <w:p>
      <w:r>
        <w:rPr>
          <w:b w:val="0"/>
        </w:rPr>
        <w:t>Además, tratamiento sintomático: -Pregabalina: 150-300 mg/día (dolor neuropático). -Baclofeno: 40-80 mg/día (espasticidad/hipertonía).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-Gilenya (Fingolimod): 0.5 mg, 1 vez/día = 1 envase/28 días.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