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05 de Diciembre de 2021</w:t>
      </w:r>
    </w:p>
    <w:p/>
    <w:p>
      <w:r>
        <w:rPr>
          <w:b w:val="0"/>
        </w:rPr>
        <w:t>Apellido y nombre: Gómez, Carolina.    DNI: 33.133.707        Fecha de Nacimiento: 09/06/1998</w:t>
      </w:r>
    </w:p>
    <w:p>
      <w:r>
        <w:rPr>
          <w:b w:val="0"/>
        </w:rPr>
        <w:t>Dirección: 13 bis Nº 3798. La Plata. Teléfono: (0221)  485-6147 / 15- 5004485</w:t>
      </w:r>
    </w:p>
    <w:p>
      <w:r>
        <w:rPr>
          <w:b w:val="0"/>
        </w:rPr>
        <w:t>Obra Social: IOMA      nº de afiliado: E96637649/00</w:t>
      </w:r>
    </w:p>
    <w:p>
      <w:r>
        <w:rPr>
          <w:b w:val="0"/>
        </w:rPr>
        <w:t>Asistida desde: 10/08/20</w:t>
      </w:r>
    </w:p>
    <w:p>
      <w:r>
        <w:rPr>
          <w:b w:val="0"/>
        </w:rPr>
        <w:t>Antecedente personales: -EPOC leve + -síndrome de túnel carpiano + -cervicalgia + -hipotiroidismo en tratamiento.-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2012: episodio sensitivo con parestesias que restituyó ad integrum. dolor neuropático tipo fulgurante y Lhermitte. neuritis óptica / disminución de visión central. disminución de la fuerza con torpeza motora. trastornos del equilibrio y coordinación con marcha inestable. disestesias con hiperestesias quemantes. Evolución: Libre de recaídas clínicas en el último año. Estabilidad clínica y radiológica.</w:t>
      </w:r>
    </w:p>
    <w:p>
      <w:r>
        <w:rPr>
          <w:b w:val="0"/>
        </w:rPr>
        <w:t>Datos semiológicos: síndrome bipiramidal a predominio crural + ataxia axial leve + Romberg +.- EDSS: 7.0.-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(05/12/2021): múltiples imágenes focales cerebrales en la sustancia blanca a predominio periventriculares bilaterales pericallosas (n°≥ 15).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SP.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Además, tratamiento sintomático: -Gabapentín: 600 mg/día (dolor neuropático).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