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 - SECCIÓN DE ENFERMEDADES DESMIELINIZANTES</w:t>
      </w:r>
    </w:p>
    <w:p/>
    <w:p>
      <w:pPr>
        <w:jc w:val="center"/>
      </w:pPr>
      <w:r>
        <w:rPr>
          <w:b/>
        </w:rPr>
        <w:t>RESUMEN DE HISTORIA CLÍNICA</w:t>
      </w:r>
    </w:p>
    <w:p>
      <w:pPr>
        <w:jc w:val="center"/>
      </w:pPr>
      <w:r>
        <w:rPr>
          <w:b w:val="0"/>
        </w:rPr>
        <w:t>La Plata, 01 de Febrero de 2019</w:t>
      </w:r>
    </w:p>
    <w:p/>
    <w:p>
      <w:r>
        <w:rPr>
          <w:b w:val="0"/>
        </w:rPr>
        <w:t>Apellido y nombre: Gómez, Carolina.    DNI: 33.133.707        Fecha de Nacimiento: 09/06/1998</w:t>
      </w:r>
    </w:p>
    <w:p>
      <w:r>
        <w:rPr>
          <w:b w:val="0"/>
        </w:rPr>
        <w:t>Dirección: 13 bis Nº 3798. La Plata. Teléfono: (0221)  485-6147 / 15- 5004485</w:t>
      </w:r>
    </w:p>
    <w:p>
      <w:r>
        <w:rPr>
          <w:b w:val="0"/>
        </w:rPr>
        <w:t>Obra Social: IOMA      nº de afiliado: E96637649/00</w:t>
      </w:r>
    </w:p>
    <w:p>
      <w:r>
        <w:rPr>
          <w:b w:val="0"/>
        </w:rPr>
        <w:t>Asistida desde: 10/08/20</w:t>
      </w:r>
    </w:p>
    <w:p>
      <w:r>
        <w:rPr>
          <w:b w:val="0"/>
        </w:rPr>
        <w:t>Antecedente personales: -hipertensión arterial + -diabetes tipo 2 + -rosácea.-</w:t>
      </w:r>
    </w:p>
    <w:p>
      <w:r>
        <w:rPr>
          <w:b w:val="0"/>
        </w:rPr>
        <w:t>Antecedentes familiares: hermano con diabetes.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octubre 2016: episodio sensitivo con parestesias que restituyó ad integrum. neuritis óptica / disminución de visión central. trastornos del equilibrio y coordinación con marcha inestable. fatiga y termosensibilidad. disestesias con hiperestesias quemantes. Evolución: Libre de recaídas clínicas en el último año. Estabilidad clínica y radiológica.</w:t>
      </w:r>
    </w:p>
    <w:p>
      <w:r>
        <w:rPr>
          <w:b w:val="0"/>
        </w:rPr>
        <w:t>Datos semiológicos: Romberg + + elementos mínimos de bipiramidalismo + síndrome bipiramidal a predominio crural + R. Hoffman bilateral.- EDSS: 6.0.-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(01/02/2019): múltiples lesiones periventriculares, algunas hipointensas en T1 (agujeros negros). Sin cambios significativos respecto a estudios previos. (Inactiva, Gd Negativa). (Inactiva, Gd Negativa).</w:t>
      </w:r>
    </w:p>
    <w:p>
      <w:r>
        <w:rPr>
          <w:b w:val="0"/>
        </w:rPr>
        <w:t>-RMN de médula: Sin cambios focales espinales evidentes en el control.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-Punción lumbar con evaluación del LCR: bandas oligoclonales de IgG Positivas (Tipo 2).</w:t>
      </w:r>
    </w:p>
    <w:p>
      <w:r>
        <w:rPr>
          <w:b w:val="0"/>
        </w:rPr>
        <w:t>Diagnóstico: Esclerosis Múltiple Forma SP. (CIE-10 G35).</w:t>
      </w:r>
    </w:p>
    <w:p>
      <w:r>
        <w:rPr>
          <w:b w:val="0"/>
        </w:rPr>
        <w:t>Comentario: la paciente debe continuar Urgente con la terapia inmunomoduladora: Fingolimod (Gilenya) 0.5 mg 1 vez/día por vía Oral. El objetivo es disminuir el número y la gravedad de las recaídas, retrasando la discapacidad acumulativa y previniendo la atrofia cerebral. Se trata de la dosificación ajustada según el estudio FREEDOMS. Motivo de la indicación: inicio tratamiento.</w:t>
      </w:r>
    </w:p>
    <w:p>
      <w:r>
        <w:rPr>
          <w:b w:val="0"/>
        </w:rPr>
        <w:t>Además, tratamiento sintomático: -Baclofeno: 40-80 mg/día (espasticidad/hipertonía).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1998); AFFIRM (NEJM 2006); CLARITY (NEJM 2010).</w:t>
      </w:r>
    </w:p>
    <w:p>
      <w:r>
        <w:rPr>
          <w:b w:val="0"/>
        </w:rPr>
        <w:t>Solicito: URGENTE continuidad para: -Gilenya (Fingolimod): 0.5 mg, 1 vez/día = 1 envase/28 días.</w:t>
      </w:r>
    </w:p>
    <w:p>
      <w:r>
        <w:rPr>
          <w:b w:val="0"/>
        </w:rPr>
        <w:t>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Santiago A.</w:t>
        <w:br/>
        <w:t xml:space="preserve">                                            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