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142B" w14:textId="5F72D981" w:rsidR="002D29C3" w:rsidRDefault="00000000">
      <w:pPr>
        <w:spacing w:after="504" w:line="259" w:lineRule="auto"/>
        <w:ind w:left="0" w:right="0" w:firstLine="0"/>
      </w:pPr>
      <w:r>
        <w:rPr>
          <w:rFonts w:ascii="Calibri" w:eastAsia="Calibri" w:hAnsi="Calibri" w:cs="Calibri"/>
          <w:sz w:val="22"/>
        </w:rPr>
        <w:t xml:space="preserve"> </w:t>
      </w:r>
    </w:p>
    <w:p w14:paraId="0BC88114" w14:textId="77777777" w:rsidR="002D29C3" w:rsidRDefault="00000000">
      <w:pPr>
        <w:spacing w:after="0" w:line="259" w:lineRule="auto"/>
        <w:ind w:left="355" w:righ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DEC4934" wp14:editId="4CC1368B">
                <wp:simplePos x="0" y="0"/>
                <wp:positionH relativeFrom="column">
                  <wp:posOffset>225501</wp:posOffset>
                </wp:positionH>
                <wp:positionV relativeFrom="paragraph">
                  <wp:posOffset>-33695</wp:posOffset>
                </wp:positionV>
                <wp:extent cx="5161153" cy="491033"/>
                <wp:effectExtent l="0" t="0" r="0" b="0"/>
                <wp:wrapNone/>
                <wp:docPr id="4745" name="Group 4745"/>
                <wp:cNvGraphicFramePr/>
                <a:graphic xmlns:a="http://schemas.openxmlformats.org/drawingml/2006/main">
                  <a:graphicData uri="http://schemas.microsoft.com/office/word/2010/wordprocessingGroup">
                    <wpg:wgp>
                      <wpg:cNvGrpSpPr/>
                      <wpg:grpSpPr>
                        <a:xfrm>
                          <a:off x="0" y="0"/>
                          <a:ext cx="5161153" cy="491033"/>
                          <a:chOff x="0" y="0"/>
                          <a:chExt cx="5161153" cy="491033"/>
                        </a:xfrm>
                      </wpg:grpSpPr>
                      <wps:wsp>
                        <wps:cNvPr id="5678" name="Shape 5678"/>
                        <wps:cNvSpPr/>
                        <wps:spPr>
                          <a:xfrm>
                            <a:off x="0" y="0"/>
                            <a:ext cx="5161153" cy="245669"/>
                          </a:xfrm>
                          <a:custGeom>
                            <a:avLst/>
                            <a:gdLst/>
                            <a:ahLst/>
                            <a:cxnLst/>
                            <a:rect l="0" t="0" r="0" b="0"/>
                            <a:pathLst>
                              <a:path w="5161153" h="245669">
                                <a:moveTo>
                                  <a:pt x="0" y="0"/>
                                </a:moveTo>
                                <a:lnTo>
                                  <a:pt x="5161153" y="0"/>
                                </a:lnTo>
                                <a:lnTo>
                                  <a:pt x="5161153" y="245669"/>
                                </a:lnTo>
                                <a:lnTo>
                                  <a:pt x="0" y="245669"/>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5679" name="Shape 5679"/>
                        <wps:cNvSpPr/>
                        <wps:spPr>
                          <a:xfrm>
                            <a:off x="2188845" y="245669"/>
                            <a:ext cx="783641" cy="245364"/>
                          </a:xfrm>
                          <a:custGeom>
                            <a:avLst/>
                            <a:gdLst/>
                            <a:ahLst/>
                            <a:cxnLst/>
                            <a:rect l="0" t="0" r="0" b="0"/>
                            <a:pathLst>
                              <a:path w="783641" h="245364">
                                <a:moveTo>
                                  <a:pt x="0" y="0"/>
                                </a:moveTo>
                                <a:lnTo>
                                  <a:pt x="783641" y="0"/>
                                </a:lnTo>
                                <a:lnTo>
                                  <a:pt x="783641" y="245364"/>
                                </a:lnTo>
                                <a:lnTo>
                                  <a:pt x="0" y="245364"/>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4745" style="width:406.39pt;height:38.664pt;position:absolute;z-index:-2147483643;mso-position-horizontal-relative:text;mso-position-horizontal:absolute;margin-left:17.756pt;mso-position-vertical-relative:text;margin-top:-2.6532pt;" coordsize="51611,4910">
                <v:shape id="Shape 5680" style="position:absolute;width:51611;height:2456;left:0;top:0;" coordsize="5161153,245669" path="m0,0l5161153,0l5161153,245669l0,245669l0,0">
                  <v:stroke weight="0pt" endcap="flat" joinstyle="miter" miterlimit="10" on="false" color="#000000" opacity="0"/>
                  <v:fill on="true" color="#00ffff"/>
                </v:shape>
                <v:shape id="Shape 5681" style="position:absolute;width:7836;height:2453;left:21888;top:2456;" coordsize="783641,245364" path="m0,0l783641,0l783641,245364l0,245364l0,0">
                  <v:stroke weight="0pt" endcap="flat" joinstyle="miter" miterlimit="10" on="false" color="#000000" opacity="0"/>
                  <v:fill on="true" color="#00ffff"/>
                </v:shape>
              </v:group>
            </w:pict>
          </mc:Fallback>
        </mc:AlternateContent>
      </w:r>
      <w:r>
        <w:rPr>
          <w:rFonts w:ascii="Lucida Handwriting" w:eastAsia="Lucida Handwriting" w:hAnsi="Lucida Handwriting" w:cs="Lucida Handwriting"/>
          <w:sz w:val="28"/>
        </w:rPr>
        <w:t xml:space="preserve">HISTORIA CLÍNICA NEUROLÓGICA: SX.DE  GUILLAIN </w:t>
      </w:r>
    </w:p>
    <w:p w14:paraId="260C8C5F" w14:textId="77777777" w:rsidR="002D29C3" w:rsidRDefault="00000000">
      <w:pPr>
        <w:spacing w:after="0" w:line="259" w:lineRule="auto"/>
        <w:ind w:right="0" w:firstLine="0"/>
        <w:jc w:val="center"/>
      </w:pPr>
      <w:r>
        <w:rPr>
          <w:rFonts w:ascii="Lucida Handwriting" w:eastAsia="Lucida Handwriting" w:hAnsi="Lucida Handwriting" w:cs="Lucida Handwriting"/>
          <w:sz w:val="28"/>
        </w:rPr>
        <w:t xml:space="preserve">BARRET </w:t>
      </w:r>
    </w:p>
    <w:p w14:paraId="4A71E384" w14:textId="77777777" w:rsidR="002D29C3" w:rsidRDefault="00000000">
      <w:pPr>
        <w:spacing w:after="0" w:line="259" w:lineRule="auto"/>
        <w:ind w:left="0" w:right="0" w:firstLine="0"/>
      </w:pPr>
      <w:r>
        <w:rPr>
          <w:b/>
        </w:rPr>
        <w:t xml:space="preserve"> </w:t>
      </w:r>
    </w:p>
    <w:p w14:paraId="0E3211FA" w14:textId="77777777" w:rsidR="002D29C3" w:rsidRDefault="00000000">
      <w:pPr>
        <w:spacing w:after="0" w:line="259" w:lineRule="auto"/>
        <w:ind w:left="0" w:right="0" w:firstLine="0"/>
      </w:pPr>
      <w:r>
        <w:rPr>
          <w:b/>
        </w:rPr>
        <w:t xml:space="preserve"> </w:t>
      </w:r>
    </w:p>
    <w:p w14:paraId="31E86130" w14:textId="77777777" w:rsidR="002D29C3" w:rsidRDefault="00000000">
      <w:pPr>
        <w:spacing w:after="0" w:line="259" w:lineRule="auto"/>
        <w:ind w:left="0" w:right="0" w:firstLine="0"/>
      </w:pPr>
      <w:r>
        <w:t xml:space="preserve"> </w:t>
      </w:r>
    </w:p>
    <w:p w14:paraId="3AE53F36" w14:textId="542D4011" w:rsidR="002D29C3" w:rsidRDefault="00000000">
      <w:pPr>
        <w:ind w:left="-5"/>
      </w:pPr>
      <w:r>
        <w:t xml:space="preserve">-Paciente: </w:t>
      </w:r>
      <w:r w:rsidR="00172602">
        <w:t xml:space="preserve"> Julián García</w:t>
      </w:r>
      <w:r>
        <w:t xml:space="preserve">                            -Edad:  </w:t>
      </w:r>
      <w:r w:rsidR="00172602">
        <w:t>28</w:t>
      </w:r>
      <w:r>
        <w:t xml:space="preserve"> años          -Sexo: Hombre   </w:t>
      </w:r>
    </w:p>
    <w:p w14:paraId="07B6CD1E" w14:textId="06F22C84" w:rsidR="002D29C3" w:rsidRDefault="00000000">
      <w:pPr>
        <w:ind w:left="-5" w:right="0"/>
      </w:pPr>
      <w:r>
        <w:t xml:space="preserve">-Domicilio :    </w:t>
      </w:r>
      <w:r w:rsidR="00172602">
        <w:t>473bis nro 1623</w:t>
      </w:r>
      <w:r>
        <w:t xml:space="preserve">        -fecha de ingreso:   </w:t>
      </w:r>
      <w:r w:rsidR="00172602">
        <w:t>30/10/2025</w:t>
      </w:r>
      <w:r>
        <w:t xml:space="preserve">                          </w:t>
      </w:r>
    </w:p>
    <w:p w14:paraId="0AE7AADA" w14:textId="2A2A8846" w:rsidR="002D29C3" w:rsidRDefault="00000000">
      <w:pPr>
        <w:ind w:left="-5" w:right="0"/>
      </w:pPr>
      <w:r>
        <w:t xml:space="preserve">Tipo de consulta: interconsulta hospitalización         Especialidad: Medicina interna  Motivo de consulta: </w:t>
      </w:r>
      <w:r w:rsidR="00172602">
        <w:rPr>
          <w:b/>
        </w:rPr>
        <w:t>Dolor de cabeza intenso</w:t>
      </w:r>
    </w:p>
    <w:p w14:paraId="74923473" w14:textId="77777777" w:rsidR="002D29C3" w:rsidRDefault="00000000">
      <w:pPr>
        <w:spacing w:after="0" w:line="259" w:lineRule="auto"/>
        <w:ind w:left="0" w:right="0" w:firstLine="0"/>
      </w:pPr>
      <w:r>
        <w:rPr>
          <w:b/>
        </w:rPr>
        <w:t xml:space="preserve"> </w:t>
      </w:r>
    </w:p>
    <w:p w14:paraId="27F31604" w14:textId="77777777" w:rsidR="002D29C3" w:rsidRDefault="00000000">
      <w:pPr>
        <w:spacing w:after="3" w:line="259" w:lineRule="auto"/>
        <w:ind w:left="-5" w:right="0"/>
      </w:pPr>
      <w:r>
        <w:rPr>
          <w:b/>
        </w:rPr>
        <w:t xml:space="preserve">Antecedentes heredo familiares:  </w:t>
      </w:r>
    </w:p>
    <w:p w14:paraId="33A06335" w14:textId="77777777" w:rsidR="002D29C3" w:rsidRDefault="00000000">
      <w:pPr>
        <w:ind w:left="-5" w:right="0"/>
      </w:pPr>
      <w:r>
        <w:t xml:space="preserve">Interrogatorio indirecto hermano  </w:t>
      </w:r>
    </w:p>
    <w:p w14:paraId="2B0AB43C" w14:textId="77777777" w:rsidR="002D29C3" w:rsidRDefault="00000000">
      <w:pPr>
        <w:ind w:left="-5" w:right="0"/>
      </w:pPr>
      <w:r>
        <w:t xml:space="preserve">Crónico degenerativos, oncológicos, cardiológicos, tiroideos, pulmonares, renales y psiquiátricos interrogados y negados. </w:t>
      </w:r>
    </w:p>
    <w:p w14:paraId="54B11C51" w14:textId="77777777" w:rsidR="002D29C3" w:rsidRDefault="00000000">
      <w:pPr>
        <w:spacing w:after="0" w:line="259" w:lineRule="auto"/>
        <w:ind w:left="0" w:right="0" w:firstLine="0"/>
      </w:pPr>
      <w:r>
        <w:rPr>
          <w:b/>
        </w:rPr>
        <w:t xml:space="preserve"> </w:t>
      </w:r>
    </w:p>
    <w:p w14:paraId="299823F2" w14:textId="77777777" w:rsidR="002D29C3" w:rsidRDefault="00000000">
      <w:pPr>
        <w:spacing w:after="3" w:line="259" w:lineRule="auto"/>
        <w:ind w:left="-5" w:right="0"/>
      </w:pPr>
      <w:r>
        <w:rPr>
          <w:b/>
        </w:rPr>
        <w:t xml:space="preserve">Antecedentes personales no patológicos:  </w:t>
      </w:r>
    </w:p>
    <w:p w14:paraId="4CA7D08F" w14:textId="77777777" w:rsidR="002D29C3" w:rsidRDefault="00000000">
      <w:pPr>
        <w:ind w:left="-5" w:right="0"/>
      </w:pPr>
      <w:r>
        <w:t xml:space="preserve">Habita en casa propia construida de paredes, piso y techo de material, habita con otras personas. </w:t>
      </w:r>
    </w:p>
    <w:p w14:paraId="5CF8C907" w14:textId="77777777" w:rsidR="002D29C3" w:rsidRDefault="00000000">
      <w:pPr>
        <w:ind w:left="-5" w:right="0"/>
      </w:pPr>
      <w:r>
        <w:t xml:space="preserve">Cuenta con los servicios básicos agua luz y drenaje baño extra domiciliario. </w:t>
      </w:r>
    </w:p>
    <w:p w14:paraId="4F44EB88" w14:textId="77777777" w:rsidR="002D29C3" w:rsidRDefault="00000000">
      <w:pPr>
        <w:ind w:left="-5" w:right="0"/>
      </w:pPr>
      <w:r>
        <w:t xml:space="preserve">Zoonosis negada  </w:t>
      </w:r>
    </w:p>
    <w:p w14:paraId="220CA004" w14:textId="77777777" w:rsidR="002D29C3" w:rsidRDefault="00000000">
      <w:pPr>
        <w:spacing w:after="0" w:line="259" w:lineRule="auto"/>
        <w:ind w:left="0" w:right="0" w:firstLine="0"/>
      </w:pPr>
      <w:r>
        <w:t xml:space="preserve"> </w:t>
      </w:r>
    </w:p>
    <w:p w14:paraId="59638A99" w14:textId="77777777" w:rsidR="002D29C3" w:rsidRDefault="00000000">
      <w:pPr>
        <w:ind w:left="-5" w:right="0"/>
      </w:pPr>
      <w:r>
        <w:t xml:space="preserve">Alimentación </w:t>
      </w:r>
    </w:p>
    <w:p w14:paraId="5AC904EB" w14:textId="77777777" w:rsidR="002D29C3" w:rsidRDefault="00000000">
      <w:pPr>
        <w:ind w:left="-5" w:right="0"/>
      </w:pPr>
      <w:r>
        <w:t xml:space="preserve">Es inadecuada en calidad y cantidad, frutas 2/7 verduras1/7 pollo1/7 carne 1/7 pescado1/7 agua un litro al día, refresco3/7 pan7/7 tortillas 3 tortillas diarias. </w:t>
      </w:r>
    </w:p>
    <w:p w14:paraId="6CCE9671" w14:textId="77777777" w:rsidR="002D29C3" w:rsidRDefault="00000000">
      <w:pPr>
        <w:spacing w:after="0" w:line="259" w:lineRule="auto"/>
        <w:ind w:left="0" w:right="0" w:firstLine="0"/>
      </w:pPr>
      <w:r>
        <w:t xml:space="preserve"> </w:t>
      </w:r>
    </w:p>
    <w:p w14:paraId="4C6E5C8B" w14:textId="77777777" w:rsidR="002D29C3" w:rsidRDefault="00000000">
      <w:pPr>
        <w:ind w:left="-5" w:right="0"/>
      </w:pPr>
      <w:r>
        <w:t xml:space="preserve">Higiene   </w:t>
      </w:r>
    </w:p>
    <w:p w14:paraId="40E12520" w14:textId="77777777" w:rsidR="002D29C3" w:rsidRDefault="00000000">
      <w:pPr>
        <w:ind w:left="-5" w:right="518"/>
      </w:pPr>
      <w:r>
        <w:t xml:space="preserve">Baño y cambio de ropa interior y exterior diario corte de uñas de manos y pies cada 15 días  hiege dental: cepillado 2 veces al día </w:t>
      </w:r>
    </w:p>
    <w:p w14:paraId="185A144B" w14:textId="77777777" w:rsidR="002D29C3" w:rsidRDefault="00000000">
      <w:pPr>
        <w:ind w:left="-5" w:right="0"/>
      </w:pPr>
      <w:r>
        <w:t xml:space="preserve">Desconoce su esquema de vacunación  </w:t>
      </w:r>
    </w:p>
    <w:p w14:paraId="52C948A7" w14:textId="77777777" w:rsidR="002D29C3" w:rsidRDefault="00000000">
      <w:pPr>
        <w:spacing w:after="0" w:line="259" w:lineRule="auto"/>
        <w:ind w:left="0" w:right="0" w:firstLine="0"/>
      </w:pPr>
      <w:r>
        <w:rPr>
          <w:b/>
        </w:rPr>
        <w:t xml:space="preserve"> </w:t>
      </w:r>
    </w:p>
    <w:p w14:paraId="0EF50C7B" w14:textId="77777777" w:rsidR="002D29C3" w:rsidRDefault="00000000">
      <w:pPr>
        <w:spacing w:after="3" w:line="259" w:lineRule="auto"/>
        <w:ind w:left="-5" w:right="0"/>
      </w:pPr>
      <w:r>
        <w:rPr>
          <w:b/>
        </w:rPr>
        <w:t xml:space="preserve">Antecedentes personales patológicos:  </w:t>
      </w:r>
    </w:p>
    <w:p w14:paraId="69EC8E0B" w14:textId="77777777" w:rsidR="002D29C3" w:rsidRDefault="00000000">
      <w:pPr>
        <w:ind w:left="-5" w:right="0"/>
      </w:pPr>
      <w:r>
        <w:t xml:space="preserve">Antecedentes crónico degenerativos, oncológicos, traumáticos, transfusionales, hospitalización, quirúrgicos, y alergia interrogadas y negadas  </w:t>
      </w:r>
    </w:p>
    <w:p w14:paraId="33122127" w14:textId="77777777" w:rsidR="002D29C3" w:rsidRDefault="00000000">
      <w:pPr>
        <w:ind w:left="-5" w:right="0"/>
      </w:pPr>
      <w:r>
        <w:t xml:space="preserve">-Toxicomanías -Tabaquismo negado –Alcoholismo ocasionalmente una vez al mes   </w:t>
      </w:r>
    </w:p>
    <w:p w14:paraId="598E90E2" w14:textId="77777777" w:rsidR="002D29C3" w:rsidRDefault="00000000">
      <w:pPr>
        <w:spacing w:after="0" w:line="259" w:lineRule="auto"/>
        <w:ind w:left="0" w:right="0" w:firstLine="0"/>
      </w:pPr>
      <w:r>
        <w:t xml:space="preserve"> </w:t>
      </w:r>
    </w:p>
    <w:p w14:paraId="4D592563" w14:textId="77777777" w:rsidR="002D29C3" w:rsidRDefault="00000000">
      <w:pPr>
        <w:spacing w:after="3" w:line="259" w:lineRule="auto"/>
        <w:ind w:left="-5" w:right="0"/>
      </w:pPr>
      <w:r>
        <w:rPr>
          <w:b/>
        </w:rPr>
        <w:t xml:space="preserve">Padecimiento actual: </w:t>
      </w:r>
      <w:r>
        <w:t xml:space="preserve"> </w:t>
      </w:r>
    </w:p>
    <w:p w14:paraId="6FFC2765" w14:textId="77777777" w:rsidR="002D29C3" w:rsidRDefault="00000000">
      <w:pPr>
        <w:ind w:left="-5" w:right="240"/>
      </w:pPr>
      <w:r>
        <w:t xml:space="preserve">Refieren que el paciente el día 22 de mayo cursa con cuadro clínico gastrointestinal el cual fue tratado de forma particular el cual no termino  El 24 de mayo del 2019 de forma súbita dolor y perdida de la fuerza muscular de extremidades superior izquierda y derecha. posterior mente cursa con dificultad para hablar, toser, deglutir y debilitarse sus piernas  </w:t>
      </w:r>
    </w:p>
    <w:p w14:paraId="37804521" w14:textId="77777777" w:rsidR="002D29C3" w:rsidRDefault="00000000">
      <w:pPr>
        <w:spacing w:after="0" w:line="259" w:lineRule="auto"/>
        <w:ind w:left="0" w:right="0" w:firstLine="0"/>
      </w:pPr>
      <w:r>
        <w:rPr>
          <w:b/>
        </w:rPr>
        <w:lastRenderedPageBreak/>
        <w:t xml:space="preserve"> </w:t>
      </w:r>
    </w:p>
    <w:p w14:paraId="4EE8CB25" w14:textId="77777777" w:rsidR="002D29C3" w:rsidRDefault="00000000">
      <w:pPr>
        <w:spacing w:after="0" w:line="259" w:lineRule="auto"/>
        <w:ind w:left="0" w:right="0" w:firstLine="0"/>
      </w:pPr>
      <w:r>
        <w:rPr>
          <w:b/>
        </w:rPr>
        <w:t xml:space="preserve"> </w:t>
      </w:r>
    </w:p>
    <w:p w14:paraId="53C62135" w14:textId="77777777" w:rsidR="002D29C3" w:rsidRDefault="00000000">
      <w:pPr>
        <w:pStyle w:val="Ttulo1"/>
        <w:ind w:left="-5"/>
      </w:pPr>
      <w:r>
        <w:t xml:space="preserve">Exploracion neurológica </w:t>
      </w:r>
    </w:p>
    <w:p w14:paraId="72F4D521" w14:textId="77777777" w:rsidR="002D29C3" w:rsidRDefault="00000000">
      <w:pPr>
        <w:ind w:left="-5" w:right="0"/>
      </w:pPr>
      <w:r>
        <w:t xml:space="preserve">Paciente estuporoso  </w:t>
      </w:r>
    </w:p>
    <w:p w14:paraId="35A13BE4" w14:textId="77777777" w:rsidR="002D29C3" w:rsidRDefault="00000000">
      <w:pPr>
        <w:ind w:left="-5" w:right="0"/>
      </w:pPr>
      <w:r>
        <w:t xml:space="preserve">Apertura ocular espontánea y dirige la mirada  </w:t>
      </w:r>
    </w:p>
    <w:p w14:paraId="058358B2" w14:textId="77777777" w:rsidR="002D29C3" w:rsidRDefault="00000000">
      <w:pPr>
        <w:pStyle w:val="Ttulo1"/>
        <w:ind w:left="-5"/>
      </w:pPr>
      <w:r>
        <w:rPr>
          <w:b w:val="0"/>
        </w:rPr>
        <w:t>Fuerza muscular 0/5</w:t>
      </w:r>
      <w:r>
        <w:t xml:space="preserve"> de acuerdo a la escala de daniels</w:t>
      </w:r>
      <w:r>
        <w:rPr>
          <w:b w:val="0"/>
        </w:rPr>
        <w:t xml:space="preserve">  </w:t>
      </w:r>
    </w:p>
    <w:p w14:paraId="1AEE675A" w14:textId="77777777" w:rsidR="002D29C3" w:rsidRDefault="00000000">
      <w:pPr>
        <w:ind w:left="-5" w:right="0"/>
      </w:pPr>
      <w:r>
        <w:t xml:space="preserve">1/5 Distal con arreflexia e hipotonía generalizada  </w:t>
      </w:r>
    </w:p>
    <w:p w14:paraId="46FFB47F" w14:textId="77777777" w:rsidR="002D29C3" w:rsidRDefault="00000000">
      <w:pPr>
        <w:ind w:left="-5" w:right="0"/>
      </w:pPr>
      <w:r>
        <w:rPr>
          <w:noProof/>
        </w:rPr>
        <w:drawing>
          <wp:anchor distT="0" distB="0" distL="114300" distR="114300" simplePos="0" relativeHeight="251659264" behindDoc="0" locked="0" layoutInCell="1" allowOverlap="0" wp14:anchorId="2B56467E" wp14:editId="27DB1B01">
            <wp:simplePos x="0" y="0"/>
            <wp:positionH relativeFrom="column">
              <wp:posOffset>3596335</wp:posOffset>
            </wp:positionH>
            <wp:positionV relativeFrom="paragraph">
              <wp:posOffset>6604</wp:posOffset>
            </wp:positionV>
            <wp:extent cx="2804160" cy="1816608"/>
            <wp:effectExtent l="0" t="0" r="0" b="0"/>
            <wp:wrapSquare wrapText="bothSides"/>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7"/>
                    <a:stretch>
                      <a:fillRect/>
                    </a:stretch>
                  </pic:blipFill>
                  <pic:spPr>
                    <a:xfrm>
                      <a:off x="0" y="0"/>
                      <a:ext cx="2804160" cy="1816608"/>
                    </a:xfrm>
                    <a:prstGeom prst="rect">
                      <a:avLst/>
                    </a:prstGeom>
                  </pic:spPr>
                </pic:pic>
              </a:graphicData>
            </a:graphic>
          </wp:anchor>
        </w:drawing>
      </w:r>
      <w:r>
        <w:t xml:space="preserve">5/6 de acuerdo a la </w:t>
      </w:r>
      <w:r>
        <w:rPr>
          <w:b/>
        </w:rPr>
        <w:t>escala de rankin</w:t>
      </w:r>
      <w:r>
        <w:t xml:space="preserve"> </w:t>
      </w:r>
    </w:p>
    <w:p w14:paraId="5ABC4CF1" w14:textId="77777777" w:rsidR="002D29C3" w:rsidRDefault="00000000">
      <w:pPr>
        <w:ind w:left="-5" w:right="0"/>
      </w:pPr>
      <w:r>
        <w:t xml:space="preserve">Respuesta plantar indiferente bilateral  </w:t>
      </w:r>
      <w:r>
        <w:rPr>
          <w:i/>
        </w:rPr>
        <w:t xml:space="preserve">Babinski positivo  </w:t>
      </w:r>
      <w:r>
        <w:t xml:space="preserve">escala de coma de Glasgow 12/15 </w:t>
      </w:r>
    </w:p>
    <w:p w14:paraId="04E0AD78" w14:textId="77777777" w:rsidR="002D29C3" w:rsidRDefault="00000000">
      <w:pPr>
        <w:spacing w:after="0" w:line="259" w:lineRule="auto"/>
        <w:ind w:left="0" w:right="0" w:firstLine="0"/>
      </w:pPr>
      <w:r>
        <w:t xml:space="preserve"> </w:t>
      </w:r>
    </w:p>
    <w:p w14:paraId="3A6B87FF" w14:textId="77777777" w:rsidR="002D29C3" w:rsidRDefault="00000000">
      <w:pPr>
        <w:spacing w:after="3" w:line="259" w:lineRule="auto"/>
        <w:ind w:left="-5" w:right="0"/>
      </w:pPr>
      <w:r>
        <w:rPr>
          <w:b/>
        </w:rPr>
        <w:t xml:space="preserve">Diagnostico nosológico </w:t>
      </w:r>
    </w:p>
    <w:p w14:paraId="4A4D0C57" w14:textId="77777777" w:rsidR="002D29C3" w:rsidRDefault="00000000">
      <w:pPr>
        <w:ind w:left="-5" w:right="0"/>
      </w:pPr>
      <w:r>
        <w:t xml:space="preserve"> guillain Barre faringo branquial  </w:t>
      </w:r>
    </w:p>
    <w:p w14:paraId="08DF431F" w14:textId="77777777" w:rsidR="002D29C3" w:rsidRDefault="00000000">
      <w:pPr>
        <w:spacing w:after="0" w:line="259" w:lineRule="auto"/>
        <w:ind w:left="0" w:right="0" w:firstLine="0"/>
      </w:pPr>
      <w:r>
        <w:t xml:space="preserve"> </w:t>
      </w:r>
    </w:p>
    <w:p w14:paraId="781EA3BF" w14:textId="77777777" w:rsidR="002D29C3" w:rsidRDefault="00000000">
      <w:pPr>
        <w:spacing w:after="3" w:line="259" w:lineRule="auto"/>
        <w:ind w:left="-5" w:right="0"/>
      </w:pPr>
      <w:r>
        <w:rPr>
          <w:b/>
        </w:rPr>
        <w:t xml:space="preserve">Diagnostico sindromatico  </w:t>
      </w:r>
    </w:p>
    <w:p w14:paraId="4A7CCC06" w14:textId="77777777" w:rsidR="002D29C3" w:rsidRDefault="00000000">
      <w:pPr>
        <w:spacing w:after="0" w:line="259" w:lineRule="auto"/>
        <w:ind w:left="0" w:right="0" w:firstLine="0"/>
      </w:pPr>
      <w:r>
        <w:t xml:space="preserve"> </w:t>
      </w:r>
    </w:p>
    <w:p w14:paraId="30ABE2EA" w14:textId="77777777" w:rsidR="002D29C3" w:rsidRDefault="00000000">
      <w:pPr>
        <w:pStyle w:val="Ttulo1"/>
        <w:ind w:left="-5"/>
      </w:pPr>
      <w:r>
        <w:t xml:space="preserve">Diagnostico diferencial  </w:t>
      </w:r>
    </w:p>
    <w:p w14:paraId="4D2CF197" w14:textId="77777777" w:rsidR="002D29C3" w:rsidRDefault="00000000">
      <w:pPr>
        <w:ind w:left="-5" w:right="85"/>
      </w:pPr>
      <w:r>
        <w:t xml:space="preserve">Debe realizarse con patologías a nivel del sistema nervioso central y periférico de la unión neuromuscular y muscular que puedan cursar con los hallazgos clínicos </w:t>
      </w:r>
      <w:r>
        <w:rPr>
          <w:rFonts w:ascii="Segoe UI Symbol" w:eastAsia="Segoe UI Symbol" w:hAnsi="Segoe UI Symbol" w:cs="Segoe UI Symbol"/>
        </w:rPr>
        <w:t></w:t>
      </w:r>
      <w:r>
        <w:t xml:space="preserve"> Beriberi </w:t>
      </w:r>
      <w:r>
        <w:rPr>
          <w:rFonts w:ascii="Segoe UI Symbol" w:eastAsia="Segoe UI Symbol" w:hAnsi="Segoe UI Symbol" w:cs="Segoe UI Symbol"/>
        </w:rPr>
        <w:t></w:t>
      </w:r>
      <w:r>
        <w:t xml:space="preserve"> Botulismo </w:t>
      </w:r>
      <w:r>
        <w:rPr>
          <w:rFonts w:ascii="Segoe UI Symbol" w:eastAsia="Segoe UI Symbol" w:hAnsi="Segoe UI Symbol" w:cs="Segoe UI Symbol"/>
        </w:rPr>
        <w:t></w:t>
      </w:r>
      <w:r>
        <w:t xml:space="preserve"> Difteria </w:t>
      </w:r>
      <w:r>
        <w:rPr>
          <w:rFonts w:ascii="Segoe UI Symbol" w:eastAsia="Segoe UI Symbol" w:hAnsi="Segoe UI Symbol" w:cs="Segoe UI Symbol"/>
        </w:rPr>
        <w:t></w:t>
      </w:r>
      <w:r>
        <w:t xml:space="preserve"> Encefalitis tronco cerebral </w:t>
      </w:r>
      <w:r>
        <w:rPr>
          <w:rFonts w:ascii="Segoe UI Symbol" w:eastAsia="Segoe UI Symbol" w:hAnsi="Segoe UI Symbol" w:cs="Segoe UI Symbol"/>
        </w:rPr>
        <w:t></w:t>
      </w:r>
      <w:r>
        <w:t xml:space="preserve"> Enfermedad de </w:t>
      </w:r>
    </w:p>
    <w:p w14:paraId="503D0BBD" w14:textId="77777777" w:rsidR="002D29C3" w:rsidRDefault="00000000">
      <w:pPr>
        <w:ind w:left="-5" w:right="0"/>
      </w:pPr>
      <w:r>
        <w:t xml:space="preserve">Lyme </w:t>
      </w:r>
      <w:r>
        <w:rPr>
          <w:rFonts w:ascii="Segoe UI Symbol" w:eastAsia="Segoe UI Symbol" w:hAnsi="Segoe UI Symbol" w:cs="Segoe UI Symbol"/>
        </w:rPr>
        <w:t></w:t>
      </w:r>
      <w:r>
        <w:t xml:space="preserve"> Hipofosfatemia </w:t>
      </w:r>
      <w:r>
        <w:rPr>
          <w:rFonts w:ascii="Segoe UI Symbol" w:eastAsia="Segoe UI Symbol" w:hAnsi="Segoe UI Symbol" w:cs="Segoe UI Symbol"/>
        </w:rPr>
        <w:t></w:t>
      </w:r>
      <w:r>
        <w:t xml:space="preserve"> Hipokalemia </w:t>
      </w:r>
      <w:r>
        <w:rPr>
          <w:rFonts w:ascii="Segoe UI Symbol" w:eastAsia="Segoe UI Symbol" w:hAnsi="Segoe UI Symbol" w:cs="Segoe UI Symbol"/>
        </w:rPr>
        <w:t></w:t>
      </w:r>
      <w:r>
        <w:t xml:space="preserve"> Infarto tronco cerebral </w:t>
      </w:r>
      <w:r>
        <w:rPr>
          <w:rFonts w:ascii="Segoe UI Symbol" w:eastAsia="Segoe UI Symbol" w:hAnsi="Segoe UI Symbol" w:cs="Segoe UI Symbol"/>
        </w:rPr>
        <w:t></w:t>
      </w:r>
      <w:r>
        <w:t xml:space="preserve"> Infecciones </w:t>
      </w:r>
      <w:r>
        <w:rPr>
          <w:rFonts w:ascii="Segoe UI Symbol" w:eastAsia="Segoe UI Symbol" w:hAnsi="Segoe UI Symbol" w:cs="Segoe UI Symbol"/>
        </w:rPr>
        <w:t></w:t>
      </w:r>
      <w:r>
        <w:t xml:space="preserve"> </w:t>
      </w:r>
    </w:p>
    <w:p w14:paraId="50F8425A" w14:textId="77777777" w:rsidR="002D29C3" w:rsidRDefault="00000000">
      <w:pPr>
        <w:ind w:left="-5" w:right="0"/>
      </w:pPr>
      <w:r>
        <w:t xml:space="preserve">Lesiones intramedulares </w:t>
      </w:r>
      <w:r>
        <w:rPr>
          <w:rFonts w:ascii="Segoe UI Symbol" w:eastAsia="Segoe UI Symbol" w:hAnsi="Segoe UI Symbol" w:cs="Segoe UI Symbol"/>
        </w:rPr>
        <w:t></w:t>
      </w:r>
      <w:r>
        <w:t xml:space="preserve"> Miastenia gravis </w:t>
      </w:r>
      <w:r>
        <w:rPr>
          <w:rFonts w:ascii="Segoe UI Symbol" w:eastAsia="Segoe UI Symbol" w:hAnsi="Segoe UI Symbol" w:cs="Segoe UI Symbol"/>
        </w:rPr>
        <w:t></w:t>
      </w:r>
      <w:r>
        <w:t xml:space="preserve"> Mielopatía aguda cervical alta </w:t>
      </w:r>
      <w:r>
        <w:rPr>
          <w:rFonts w:ascii="Segoe UI Symbol" w:eastAsia="Segoe UI Symbol" w:hAnsi="Segoe UI Symbol" w:cs="Segoe UI Symbol"/>
        </w:rPr>
        <w:t></w:t>
      </w:r>
      <w:r>
        <w:t xml:space="preserve"> Miopatia aguda </w:t>
      </w:r>
      <w:r>
        <w:rPr>
          <w:rFonts w:ascii="Segoe UI Symbol" w:eastAsia="Segoe UI Symbol" w:hAnsi="Segoe UI Symbol" w:cs="Segoe UI Symbol"/>
        </w:rPr>
        <w:t></w:t>
      </w:r>
      <w:r>
        <w:t xml:space="preserve"> Miopatía tóxica, rabdomiolisis aguda </w:t>
      </w:r>
      <w:r>
        <w:rPr>
          <w:rFonts w:ascii="Segoe UI Symbol" w:eastAsia="Segoe UI Symbol" w:hAnsi="Segoe UI Symbol" w:cs="Segoe UI Symbol"/>
        </w:rPr>
        <w:t></w:t>
      </w:r>
      <w:r>
        <w:t xml:space="preserve"> Neuropatía del enfermo critico </w:t>
      </w:r>
      <w:r>
        <w:rPr>
          <w:rFonts w:ascii="Segoe UI Symbol" w:eastAsia="Segoe UI Symbol" w:hAnsi="Segoe UI Symbol" w:cs="Segoe UI Symbol"/>
        </w:rPr>
        <w:t></w:t>
      </w:r>
      <w:r>
        <w:t xml:space="preserve"> Neuropatía diabética </w:t>
      </w:r>
      <w:r>
        <w:rPr>
          <w:rFonts w:ascii="Segoe UI Symbol" w:eastAsia="Segoe UI Symbol" w:hAnsi="Segoe UI Symbol" w:cs="Segoe UI Symbol"/>
        </w:rPr>
        <w:t></w:t>
      </w:r>
      <w:r>
        <w:t xml:space="preserve"> Neuropatía linfomatosa </w:t>
      </w:r>
      <w:r>
        <w:rPr>
          <w:rFonts w:ascii="Segoe UI Symbol" w:eastAsia="Segoe UI Symbol" w:hAnsi="Segoe UI Symbol" w:cs="Segoe UI Symbol"/>
        </w:rPr>
        <w:t></w:t>
      </w:r>
      <w:r>
        <w:t xml:space="preserve"> Neuropatía periférica </w:t>
      </w:r>
      <w:r>
        <w:rPr>
          <w:rFonts w:ascii="Segoe UI Symbol" w:eastAsia="Segoe UI Symbol" w:hAnsi="Segoe UI Symbol" w:cs="Segoe UI Symbol"/>
        </w:rPr>
        <w:t></w:t>
      </w:r>
      <w:r>
        <w:t xml:space="preserve"> Neuropatía por metales pesados </w:t>
      </w:r>
      <w:r>
        <w:rPr>
          <w:rFonts w:ascii="Segoe UI Symbol" w:eastAsia="Segoe UI Symbol" w:hAnsi="Segoe UI Symbol" w:cs="Segoe UI Symbol"/>
        </w:rPr>
        <w:t></w:t>
      </w:r>
      <w:r>
        <w:t xml:space="preserve"> Neuropatía posvacunal contra rabia </w:t>
      </w:r>
      <w:r>
        <w:rPr>
          <w:rFonts w:ascii="Segoe UI Symbol" w:eastAsia="Segoe UI Symbol" w:hAnsi="Segoe UI Symbol" w:cs="Segoe UI Symbol"/>
        </w:rPr>
        <w:t></w:t>
      </w:r>
      <w:r>
        <w:t xml:space="preserve"> </w:t>
      </w:r>
    </w:p>
    <w:p w14:paraId="5F1657BA" w14:textId="77777777" w:rsidR="002D29C3" w:rsidRDefault="00000000">
      <w:pPr>
        <w:ind w:left="-5" w:right="0"/>
      </w:pPr>
      <w:r>
        <w:t xml:space="preserve">Neuropatia tóxica por organofosforados </w:t>
      </w:r>
      <w:r>
        <w:rPr>
          <w:rFonts w:ascii="Segoe UI Symbol" w:eastAsia="Segoe UI Symbol" w:hAnsi="Segoe UI Symbol" w:cs="Segoe UI Symbol"/>
        </w:rPr>
        <w:t></w:t>
      </w:r>
      <w:r>
        <w:t xml:space="preserve"> Neuropatía urémica </w:t>
      </w:r>
      <w:r>
        <w:rPr>
          <w:rFonts w:ascii="Segoe UI Symbol" w:eastAsia="Segoe UI Symbol" w:hAnsi="Segoe UI Symbol" w:cs="Segoe UI Symbol"/>
        </w:rPr>
        <w:t></w:t>
      </w:r>
      <w:r>
        <w:t xml:space="preserve"> Parálisis periódica </w:t>
      </w:r>
    </w:p>
    <w:p w14:paraId="77305D06" w14:textId="77777777" w:rsidR="002D29C3" w:rsidRDefault="00000000">
      <w:pPr>
        <w:numPr>
          <w:ilvl w:val="0"/>
          <w:numId w:val="1"/>
        </w:numPr>
        <w:ind w:right="0" w:hanging="178"/>
      </w:pPr>
      <w:r>
        <w:t xml:space="preserve">Poliomielitis aguda anterior </w:t>
      </w:r>
      <w:r>
        <w:rPr>
          <w:rFonts w:ascii="Segoe UI Symbol" w:eastAsia="Segoe UI Symbol" w:hAnsi="Segoe UI Symbol" w:cs="Segoe UI Symbol"/>
        </w:rPr>
        <w:t></w:t>
      </w:r>
      <w:r>
        <w:t xml:space="preserve"> Poliomielitis postvacunal </w:t>
      </w:r>
      <w:r>
        <w:rPr>
          <w:rFonts w:ascii="Segoe UI Symbol" w:eastAsia="Segoe UI Symbol" w:hAnsi="Segoe UI Symbol" w:cs="Segoe UI Symbol"/>
        </w:rPr>
        <w:t></w:t>
      </w:r>
      <w:r>
        <w:t xml:space="preserve"> Porfiria </w:t>
      </w:r>
      <w:r>
        <w:rPr>
          <w:rFonts w:ascii="Segoe UI Symbol" w:eastAsia="Segoe UI Symbol" w:hAnsi="Segoe UI Symbol" w:cs="Segoe UI Symbol"/>
        </w:rPr>
        <w:t></w:t>
      </w:r>
      <w:r>
        <w:t xml:space="preserve"> Síndrme de </w:t>
      </w:r>
    </w:p>
    <w:p w14:paraId="156DA2F2" w14:textId="77777777" w:rsidR="002D29C3" w:rsidRDefault="00000000">
      <w:pPr>
        <w:ind w:left="-5" w:right="0"/>
      </w:pPr>
      <w:r>
        <w:t xml:space="preserve">Eaton-Lamber </w:t>
      </w:r>
      <w:r>
        <w:rPr>
          <w:rFonts w:ascii="Segoe UI Symbol" w:eastAsia="Segoe UI Symbol" w:hAnsi="Segoe UI Symbol" w:cs="Segoe UI Symbol"/>
        </w:rPr>
        <w:t></w:t>
      </w:r>
      <w:r>
        <w:t xml:space="preserve"> Trastornos del Sistema Nervioso Central </w:t>
      </w:r>
      <w:r>
        <w:rPr>
          <w:rFonts w:ascii="Segoe UI Symbol" w:eastAsia="Segoe UI Symbol" w:hAnsi="Segoe UI Symbol" w:cs="Segoe UI Symbol"/>
        </w:rPr>
        <w:t></w:t>
      </w:r>
      <w:r>
        <w:t xml:space="preserve"> Trastornos musculares </w:t>
      </w:r>
    </w:p>
    <w:p w14:paraId="2A10E9D1" w14:textId="77777777" w:rsidR="002D29C3" w:rsidRDefault="00000000">
      <w:pPr>
        <w:numPr>
          <w:ilvl w:val="0"/>
          <w:numId w:val="1"/>
        </w:numPr>
        <w:ind w:right="0" w:hanging="178"/>
      </w:pPr>
      <w:r>
        <w:t xml:space="preserve">Trastoros de unión neuromuscular </w:t>
      </w:r>
      <w:r>
        <w:rPr>
          <w:rFonts w:ascii="Segoe UI Symbol" w:eastAsia="Segoe UI Symbol" w:hAnsi="Segoe UI Symbol" w:cs="Segoe UI Symbol"/>
        </w:rPr>
        <w:t></w:t>
      </w:r>
      <w:r>
        <w:t xml:space="preserve"> Vasculitis </w:t>
      </w:r>
    </w:p>
    <w:p w14:paraId="65E6D0D6" w14:textId="77777777" w:rsidR="002D29C3" w:rsidRDefault="00000000">
      <w:pPr>
        <w:spacing w:after="0" w:line="259" w:lineRule="auto"/>
        <w:ind w:left="0" w:right="0" w:firstLine="0"/>
      </w:pPr>
      <w:r>
        <w:t xml:space="preserve"> </w:t>
      </w:r>
    </w:p>
    <w:p w14:paraId="62E6A0BE" w14:textId="77777777" w:rsidR="002D29C3" w:rsidRDefault="00000000">
      <w:pPr>
        <w:pStyle w:val="Ttulo1"/>
        <w:ind w:left="-5"/>
      </w:pPr>
      <w:r>
        <w:t xml:space="preserve">Diagnóstico clínico  </w:t>
      </w:r>
    </w:p>
    <w:p w14:paraId="44B194A8" w14:textId="77777777" w:rsidR="002D29C3" w:rsidRDefault="00000000">
      <w:pPr>
        <w:numPr>
          <w:ilvl w:val="0"/>
          <w:numId w:val="2"/>
        </w:numPr>
        <w:ind w:right="0" w:hanging="293"/>
      </w:pPr>
      <w:r>
        <w:t xml:space="preserve">Típicos: </w:t>
      </w:r>
      <w:r>
        <w:rPr>
          <w:rFonts w:ascii="Segoe UI Symbol" w:eastAsia="Segoe UI Symbol" w:hAnsi="Segoe UI Symbol" w:cs="Segoe UI Symbol"/>
        </w:rPr>
        <w:t></w:t>
      </w:r>
      <w:r>
        <w:t xml:space="preserve"> Debilidad o pérdida de la función muscular simétrica y ascendente </w:t>
      </w:r>
    </w:p>
    <w:p w14:paraId="6BA0BFA1" w14:textId="77777777" w:rsidR="002D29C3" w:rsidRDefault="00000000">
      <w:pPr>
        <w:ind w:left="-5" w:right="0"/>
      </w:pPr>
      <w:r>
        <w:t xml:space="preserve">(parálisis) </w:t>
      </w:r>
      <w:r>
        <w:rPr>
          <w:rFonts w:ascii="Segoe UI Symbol" w:eastAsia="Segoe UI Symbol" w:hAnsi="Segoe UI Symbol" w:cs="Segoe UI Symbol"/>
        </w:rPr>
        <w:t></w:t>
      </w:r>
      <w:r>
        <w:t xml:space="preserve"> Arreflexia o hiporreflexia osteotendinosa. </w:t>
      </w:r>
      <w:r>
        <w:rPr>
          <w:rFonts w:ascii="Segoe UI Symbol" w:eastAsia="Segoe UI Symbol" w:hAnsi="Segoe UI Symbol" w:cs="Segoe UI Symbol"/>
        </w:rPr>
        <w:t></w:t>
      </w:r>
      <w:r>
        <w:t xml:space="preserve"> Cambios o disminución de la sensibilidad, entumecimiento, dolor muscular (puede ser similar al dolor por calambres). </w:t>
      </w:r>
    </w:p>
    <w:p w14:paraId="10E47216" w14:textId="77777777" w:rsidR="002D29C3" w:rsidRDefault="00000000">
      <w:pPr>
        <w:numPr>
          <w:ilvl w:val="0"/>
          <w:numId w:val="2"/>
        </w:numPr>
        <w:ind w:right="0" w:hanging="293"/>
      </w:pPr>
      <w:r>
        <w:t xml:space="preserve">Adicionales: (que pueden aparecer durante la enfermedad, no necesariamente específicos): </w:t>
      </w:r>
      <w:r>
        <w:rPr>
          <w:rFonts w:ascii="Segoe UI Symbol" w:eastAsia="Segoe UI Symbol" w:hAnsi="Segoe UI Symbol" w:cs="Segoe UI Symbol"/>
        </w:rPr>
        <w:t></w:t>
      </w:r>
      <w:r>
        <w:t xml:space="preserve"> Visión borrosa </w:t>
      </w:r>
      <w:r>
        <w:rPr>
          <w:rFonts w:ascii="Segoe UI Symbol" w:eastAsia="Segoe UI Symbol" w:hAnsi="Segoe UI Symbol" w:cs="Segoe UI Symbol"/>
        </w:rPr>
        <w:t></w:t>
      </w:r>
      <w:r>
        <w:t xml:space="preserve"> Dificultad para mover los músculos de la cara </w:t>
      </w:r>
      <w:r>
        <w:rPr>
          <w:rFonts w:ascii="Segoe UI Symbol" w:eastAsia="Segoe UI Symbol" w:hAnsi="Segoe UI Symbol" w:cs="Segoe UI Symbol"/>
        </w:rPr>
        <w:t></w:t>
      </w:r>
      <w:r>
        <w:t xml:space="preserve"> Marcha tórpida y caídas </w:t>
      </w:r>
      <w:r>
        <w:rPr>
          <w:rFonts w:ascii="Segoe UI Symbol" w:eastAsia="Segoe UI Symbol" w:hAnsi="Segoe UI Symbol" w:cs="Segoe UI Symbol"/>
        </w:rPr>
        <w:t></w:t>
      </w:r>
      <w:r>
        <w:t xml:space="preserve"> Palpitaciones (sensación táctil de los latidos del corazón) </w:t>
      </w:r>
      <w:r>
        <w:rPr>
          <w:rFonts w:ascii="Segoe UI Symbol" w:eastAsia="Segoe UI Symbol" w:hAnsi="Segoe UI Symbol" w:cs="Segoe UI Symbol"/>
        </w:rPr>
        <w:t></w:t>
      </w:r>
      <w:r>
        <w:t xml:space="preserve"> Contracciones musculares  </w:t>
      </w:r>
    </w:p>
    <w:p w14:paraId="26F96D5E" w14:textId="77777777" w:rsidR="002D29C3" w:rsidRDefault="00000000">
      <w:pPr>
        <w:numPr>
          <w:ilvl w:val="0"/>
          <w:numId w:val="2"/>
        </w:numPr>
        <w:ind w:right="0" w:hanging="293"/>
      </w:pPr>
      <w:r>
        <w:t xml:space="preserve">De alarma: </w:t>
      </w:r>
      <w:r>
        <w:rPr>
          <w:rFonts w:ascii="Segoe UI Symbol" w:eastAsia="Segoe UI Symbol" w:hAnsi="Segoe UI Symbol" w:cs="Segoe UI Symbol"/>
        </w:rPr>
        <w:t></w:t>
      </w:r>
      <w:r>
        <w:t xml:space="preserve"> Disfagia, sialorrea </w:t>
      </w:r>
      <w:r>
        <w:rPr>
          <w:rFonts w:ascii="Segoe UI Symbol" w:eastAsia="Segoe UI Symbol" w:hAnsi="Segoe UI Symbol" w:cs="Segoe UI Symbol"/>
        </w:rPr>
        <w:t></w:t>
      </w:r>
      <w:r>
        <w:t xml:space="preserve"> Disnea, apnea o incapacidad para respirar profundamente </w:t>
      </w:r>
      <w:r>
        <w:rPr>
          <w:rFonts w:ascii="Segoe UI Symbol" w:eastAsia="Segoe UI Symbol" w:hAnsi="Segoe UI Symbol" w:cs="Segoe UI Symbol"/>
        </w:rPr>
        <w:t></w:t>
      </w:r>
      <w:r>
        <w:t xml:space="preserve"> Lipotimia </w:t>
      </w:r>
    </w:p>
    <w:p w14:paraId="49E56B8A" w14:textId="77777777" w:rsidR="002D29C3" w:rsidRDefault="00000000">
      <w:pPr>
        <w:spacing w:after="0" w:line="259" w:lineRule="auto"/>
        <w:ind w:left="0" w:right="0" w:firstLine="0"/>
      </w:pPr>
      <w:r>
        <w:t xml:space="preserve"> </w:t>
      </w:r>
    </w:p>
    <w:p w14:paraId="015B7669" w14:textId="77777777" w:rsidR="002D29C3" w:rsidRDefault="00000000">
      <w:pPr>
        <w:spacing w:after="0" w:line="259" w:lineRule="auto"/>
        <w:ind w:left="0" w:right="0" w:firstLine="0"/>
      </w:pPr>
      <w:r>
        <w:lastRenderedPageBreak/>
        <w:t xml:space="preserve"> </w:t>
      </w:r>
    </w:p>
    <w:p w14:paraId="2CDA557D" w14:textId="77777777" w:rsidR="002D29C3" w:rsidRDefault="00000000">
      <w:pPr>
        <w:spacing w:after="0" w:line="259" w:lineRule="auto"/>
        <w:ind w:left="0" w:right="0" w:firstLine="0"/>
      </w:pPr>
      <w:r>
        <w:t xml:space="preserve"> </w:t>
      </w:r>
    </w:p>
    <w:p w14:paraId="4F0E70DB" w14:textId="77777777" w:rsidR="002D29C3" w:rsidRDefault="00000000">
      <w:pPr>
        <w:spacing w:after="0" w:line="259" w:lineRule="auto"/>
        <w:ind w:left="0" w:right="0" w:firstLine="0"/>
      </w:pPr>
      <w:r>
        <w:t xml:space="preserve"> </w:t>
      </w:r>
    </w:p>
    <w:p w14:paraId="780C5BBB" w14:textId="77777777" w:rsidR="002D29C3" w:rsidRDefault="00000000">
      <w:pPr>
        <w:spacing w:after="0" w:line="259" w:lineRule="auto"/>
        <w:ind w:left="0" w:right="0" w:firstLine="0"/>
      </w:pPr>
      <w:r>
        <w:t xml:space="preserve"> </w:t>
      </w:r>
    </w:p>
    <w:p w14:paraId="0D28191C" w14:textId="77777777" w:rsidR="002D29C3" w:rsidRDefault="00000000">
      <w:pPr>
        <w:spacing w:after="0" w:line="259" w:lineRule="auto"/>
        <w:ind w:left="0" w:right="0" w:firstLine="0"/>
      </w:pPr>
      <w:r>
        <w:t xml:space="preserve"> </w:t>
      </w:r>
    </w:p>
    <w:p w14:paraId="56580A88" w14:textId="77777777" w:rsidR="002D29C3" w:rsidRDefault="00000000">
      <w:pPr>
        <w:spacing w:after="3" w:line="259" w:lineRule="auto"/>
        <w:ind w:left="-5" w:right="0"/>
      </w:pPr>
      <w:r>
        <w:rPr>
          <w:b/>
        </w:rPr>
        <w:t xml:space="preserve">Auxiliares diagnósticos: </w:t>
      </w:r>
    </w:p>
    <w:p w14:paraId="0A98E890" w14:textId="77777777" w:rsidR="002D29C3" w:rsidRDefault="00000000">
      <w:pPr>
        <w:ind w:left="-5" w:right="0"/>
      </w:pPr>
      <w:r>
        <w:t xml:space="preserve">Estudio del líquido cefalorraquídeo  </w:t>
      </w:r>
    </w:p>
    <w:p w14:paraId="271E9808" w14:textId="77777777" w:rsidR="002D29C3" w:rsidRDefault="00000000">
      <w:pPr>
        <w:spacing w:after="0" w:line="259" w:lineRule="auto"/>
        <w:ind w:left="0" w:right="0" w:firstLine="0"/>
      </w:pPr>
      <w:r>
        <w:t xml:space="preserve"> </w:t>
      </w:r>
    </w:p>
    <w:tbl>
      <w:tblPr>
        <w:tblStyle w:val="TableGrid"/>
        <w:tblW w:w="8829" w:type="dxa"/>
        <w:tblInd w:w="5" w:type="dxa"/>
        <w:tblCellMar>
          <w:top w:w="8" w:type="dxa"/>
          <w:left w:w="115" w:type="dxa"/>
          <w:bottom w:w="0" w:type="dxa"/>
          <w:right w:w="115" w:type="dxa"/>
        </w:tblCellMar>
        <w:tblLook w:val="04A0" w:firstRow="1" w:lastRow="0" w:firstColumn="1" w:lastColumn="0" w:noHBand="0" w:noVBand="1"/>
      </w:tblPr>
      <w:tblGrid>
        <w:gridCol w:w="4414"/>
        <w:gridCol w:w="4415"/>
      </w:tblGrid>
      <w:tr w:rsidR="002D29C3" w14:paraId="606450D9" w14:textId="77777777">
        <w:trPr>
          <w:trHeight w:val="288"/>
        </w:trPr>
        <w:tc>
          <w:tcPr>
            <w:tcW w:w="4414" w:type="dxa"/>
            <w:tcBorders>
              <w:top w:val="single" w:sz="4" w:space="0" w:color="000000"/>
              <w:left w:val="single" w:sz="4" w:space="0" w:color="000000"/>
              <w:bottom w:val="single" w:sz="4" w:space="0" w:color="000000"/>
              <w:right w:val="single" w:sz="4" w:space="0" w:color="000000"/>
            </w:tcBorders>
          </w:tcPr>
          <w:p w14:paraId="5BBB3BD4" w14:textId="77777777" w:rsidR="002D29C3" w:rsidRDefault="00000000">
            <w:pPr>
              <w:spacing w:after="0" w:line="259" w:lineRule="auto"/>
              <w:ind w:left="0" w:right="0" w:firstLine="0"/>
              <w:jc w:val="center"/>
            </w:pPr>
            <w:r>
              <w:t xml:space="preserve">Aspecto </w:t>
            </w:r>
          </w:p>
        </w:tc>
        <w:tc>
          <w:tcPr>
            <w:tcW w:w="4415" w:type="dxa"/>
            <w:tcBorders>
              <w:top w:val="single" w:sz="4" w:space="0" w:color="000000"/>
              <w:left w:val="single" w:sz="4" w:space="0" w:color="000000"/>
              <w:bottom w:val="single" w:sz="4" w:space="0" w:color="000000"/>
              <w:right w:val="single" w:sz="4" w:space="0" w:color="000000"/>
            </w:tcBorders>
          </w:tcPr>
          <w:p w14:paraId="38F31473" w14:textId="77777777" w:rsidR="002D29C3" w:rsidRDefault="00000000">
            <w:pPr>
              <w:spacing w:after="0" w:line="259" w:lineRule="auto"/>
              <w:ind w:left="0" w:right="2" w:firstLine="0"/>
              <w:jc w:val="center"/>
            </w:pPr>
            <w:r>
              <w:t xml:space="preserve">Ligeramente turbio </w:t>
            </w:r>
          </w:p>
        </w:tc>
      </w:tr>
      <w:tr w:rsidR="002D29C3" w14:paraId="617FC3F6" w14:textId="77777777">
        <w:trPr>
          <w:trHeight w:val="286"/>
        </w:trPr>
        <w:tc>
          <w:tcPr>
            <w:tcW w:w="4414" w:type="dxa"/>
            <w:tcBorders>
              <w:top w:val="single" w:sz="4" w:space="0" w:color="000000"/>
              <w:left w:val="single" w:sz="4" w:space="0" w:color="000000"/>
              <w:bottom w:val="single" w:sz="4" w:space="0" w:color="000000"/>
              <w:right w:val="single" w:sz="4" w:space="0" w:color="000000"/>
            </w:tcBorders>
          </w:tcPr>
          <w:p w14:paraId="037E8335" w14:textId="77777777" w:rsidR="002D29C3" w:rsidRDefault="00000000">
            <w:pPr>
              <w:spacing w:after="0" w:line="259" w:lineRule="auto"/>
              <w:ind w:left="0" w:right="0" w:firstLine="0"/>
              <w:jc w:val="center"/>
            </w:pPr>
            <w:r>
              <w:t xml:space="preserve">PH </w:t>
            </w:r>
          </w:p>
        </w:tc>
        <w:tc>
          <w:tcPr>
            <w:tcW w:w="4415" w:type="dxa"/>
            <w:tcBorders>
              <w:top w:val="single" w:sz="4" w:space="0" w:color="000000"/>
              <w:left w:val="single" w:sz="4" w:space="0" w:color="000000"/>
              <w:bottom w:val="single" w:sz="4" w:space="0" w:color="000000"/>
              <w:right w:val="single" w:sz="4" w:space="0" w:color="000000"/>
            </w:tcBorders>
          </w:tcPr>
          <w:p w14:paraId="277C2AB9" w14:textId="77777777" w:rsidR="002D29C3" w:rsidRDefault="00000000">
            <w:pPr>
              <w:spacing w:after="0" w:line="259" w:lineRule="auto"/>
              <w:ind w:left="1" w:right="0" w:firstLine="0"/>
              <w:jc w:val="center"/>
            </w:pPr>
            <w:r>
              <w:t xml:space="preserve">8.0 </w:t>
            </w:r>
          </w:p>
        </w:tc>
      </w:tr>
      <w:tr w:rsidR="002D29C3" w14:paraId="550A56AE" w14:textId="77777777">
        <w:trPr>
          <w:trHeight w:val="286"/>
        </w:trPr>
        <w:tc>
          <w:tcPr>
            <w:tcW w:w="4414" w:type="dxa"/>
            <w:tcBorders>
              <w:top w:val="single" w:sz="4" w:space="0" w:color="000000"/>
              <w:left w:val="single" w:sz="4" w:space="0" w:color="000000"/>
              <w:bottom w:val="single" w:sz="4" w:space="0" w:color="000000"/>
              <w:right w:val="single" w:sz="4" w:space="0" w:color="000000"/>
            </w:tcBorders>
          </w:tcPr>
          <w:p w14:paraId="7D8D9C84" w14:textId="77777777" w:rsidR="002D29C3" w:rsidRDefault="00000000">
            <w:pPr>
              <w:spacing w:after="0" w:line="259" w:lineRule="auto"/>
              <w:ind w:left="0" w:right="1" w:firstLine="0"/>
              <w:jc w:val="center"/>
            </w:pPr>
            <w:r>
              <w:t xml:space="preserve">HB </w:t>
            </w:r>
          </w:p>
        </w:tc>
        <w:tc>
          <w:tcPr>
            <w:tcW w:w="4415" w:type="dxa"/>
            <w:tcBorders>
              <w:top w:val="single" w:sz="4" w:space="0" w:color="000000"/>
              <w:left w:val="single" w:sz="4" w:space="0" w:color="000000"/>
              <w:bottom w:val="single" w:sz="4" w:space="0" w:color="000000"/>
              <w:right w:val="single" w:sz="4" w:space="0" w:color="000000"/>
            </w:tcBorders>
          </w:tcPr>
          <w:p w14:paraId="3CBA603A" w14:textId="77777777" w:rsidR="002D29C3" w:rsidRDefault="00000000">
            <w:pPr>
              <w:spacing w:after="0" w:line="259" w:lineRule="auto"/>
              <w:ind w:left="0" w:right="2" w:firstLine="0"/>
              <w:jc w:val="center"/>
            </w:pPr>
            <w:r>
              <w:t xml:space="preserve">250eritrocitos /UL </w:t>
            </w:r>
          </w:p>
        </w:tc>
      </w:tr>
      <w:tr w:rsidR="002D29C3" w14:paraId="3275C368" w14:textId="77777777">
        <w:trPr>
          <w:trHeight w:val="286"/>
        </w:trPr>
        <w:tc>
          <w:tcPr>
            <w:tcW w:w="4414" w:type="dxa"/>
            <w:tcBorders>
              <w:top w:val="single" w:sz="4" w:space="0" w:color="000000"/>
              <w:left w:val="single" w:sz="4" w:space="0" w:color="000000"/>
              <w:bottom w:val="single" w:sz="4" w:space="0" w:color="000000"/>
              <w:right w:val="single" w:sz="4" w:space="0" w:color="000000"/>
            </w:tcBorders>
          </w:tcPr>
          <w:p w14:paraId="08AC213D" w14:textId="77777777" w:rsidR="002D29C3" w:rsidRDefault="00000000">
            <w:pPr>
              <w:spacing w:after="0" w:line="259" w:lineRule="auto"/>
              <w:ind w:left="1" w:right="0" w:firstLine="0"/>
              <w:jc w:val="center"/>
            </w:pPr>
            <w:r>
              <w:t xml:space="preserve">GLUCOSA </w:t>
            </w:r>
          </w:p>
        </w:tc>
        <w:tc>
          <w:tcPr>
            <w:tcW w:w="4415" w:type="dxa"/>
            <w:tcBorders>
              <w:top w:val="single" w:sz="4" w:space="0" w:color="000000"/>
              <w:left w:val="single" w:sz="4" w:space="0" w:color="000000"/>
              <w:bottom w:val="single" w:sz="4" w:space="0" w:color="000000"/>
              <w:right w:val="single" w:sz="4" w:space="0" w:color="000000"/>
            </w:tcBorders>
          </w:tcPr>
          <w:p w14:paraId="4E83D456" w14:textId="77777777" w:rsidR="002D29C3" w:rsidRDefault="00000000">
            <w:pPr>
              <w:spacing w:after="0" w:line="259" w:lineRule="auto"/>
              <w:ind w:left="1" w:right="0" w:firstLine="0"/>
              <w:jc w:val="center"/>
            </w:pPr>
            <w:r>
              <w:t xml:space="preserve">99.00mg/dl </w:t>
            </w:r>
          </w:p>
        </w:tc>
      </w:tr>
      <w:tr w:rsidR="002D29C3" w14:paraId="57DF1F4C" w14:textId="77777777">
        <w:trPr>
          <w:trHeight w:val="286"/>
        </w:trPr>
        <w:tc>
          <w:tcPr>
            <w:tcW w:w="4414" w:type="dxa"/>
            <w:tcBorders>
              <w:top w:val="single" w:sz="4" w:space="0" w:color="000000"/>
              <w:left w:val="single" w:sz="4" w:space="0" w:color="000000"/>
              <w:bottom w:val="single" w:sz="4" w:space="0" w:color="000000"/>
              <w:right w:val="single" w:sz="4" w:space="0" w:color="000000"/>
            </w:tcBorders>
          </w:tcPr>
          <w:p w14:paraId="6AD6304A" w14:textId="77777777" w:rsidR="002D29C3" w:rsidRDefault="00000000">
            <w:pPr>
              <w:spacing w:after="0" w:line="259" w:lineRule="auto"/>
              <w:ind w:left="0" w:right="2" w:firstLine="0"/>
              <w:jc w:val="center"/>
            </w:pPr>
            <w:r>
              <w:t xml:space="preserve">PROTEINAS </w:t>
            </w:r>
          </w:p>
        </w:tc>
        <w:tc>
          <w:tcPr>
            <w:tcW w:w="4415" w:type="dxa"/>
            <w:tcBorders>
              <w:top w:val="single" w:sz="4" w:space="0" w:color="000000"/>
              <w:left w:val="single" w:sz="4" w:space="0" w:color="000000"/>
              <w:bottom w:val="single" w:sz="4" w:space="0" w:color="000000"/>
              <w:right w:val="single" w:sz="4" w:space="0" w:color="000000"/>
            </w:tcBorders>
          </w:tcPr>
          <w:p w14:paraId="360779F9" w14:textId="77777777" w:rsidR="002D29C3" w:rsidRDefault="00000000">
            <w:pPr>
              <w:spacing w:after="0" w:line="259" w:lineRule="auto"/>
              <w:ind w:left="2" w:right="0" w:firstLine="0"/>
              <w:jc w:val="center"/>
            </w:pPr>
            <w:r>
              <w:t xml:space="preserve">36.6mg/dl </w:t>
            </w:r>
          </w:p>
        </w:tc>
      </w:tr>
      <w:tr w:rsidR="002D29C3" w14:paraId="39A03816" w14:textId="77777777">
        <w:trPr>
          <w:trHeight w:val="288"/>
        </w:trPr>
        <w:tc>
          <w:tcPr>
            <w:tcW w:w="4414" w:type="dxa"/>
            <w:tcBorders>
              <w:top w:val="single" w:sz="4" w:space="0" w:color="000000"/>
              <w:left w:val="single" w:sz="4" w:space="0" w:color="000000"/>
              <w:bottom w:val="single" w:sz="4" w:space="0" w:color="000000"/>
              <w:right w:val="single" w:sz="4" w:space="0" w:color="000000"/>
            </w:tcBorders>
          </w:tcPr>
          <w:p w14:paraId="25C07848" w14:textId="77777777" w:rsidR="002D29C3" w:rsidRDefault="00000000">
            <w:pPr>
              <w:spacing w:after="0" w:line="259" w:lineRule="auto"/>
              <w:ind w:left="0" w:right="5" w:firstLine="0"/>
              <w:jc w:val="center"/>
            </w:pPr>
            <w:r>
              <w:t xml:space="preserve">TOPTAL DE CELULAS </w:t>
            </w:r>
          </w:p>
        </w:tc>
        <w:tc>
          <w:tcPr>
            <w:tcW w:w="4415" w:type="dxa"/>
            <w:tcBorders>
              <w:top w:val="single" w:sz="4" w:space="0" w:color="000000"/>
              <w:left w:val="single" w:sz="4" w:space="0" w:color="000000"/>
              <w:bottom w:val="single" w:sz="4" w:space="0" w:color="000000"/>
              <w:right w:val="single" w:sz="4" w:space="0" w:color="000000"/>
            </w:tcBorders>
          </w:tcPr>
          <w:p w14:paraId="63D33B8B" w14:textId="77777777" w:rsidR="002D29C3" w:rsidRDefault="00000000">
            <w:pPr>
              <w:spacing w:after="0" w:line="259" w:lineRule="auto"/>
              <w:ind w:left="0" w:right="4" w:firstLine="0"/>
              <w:jc w:val="center"/>
            </w:pPr>
            <w:r>
              <w:t xml:space="preserve">0 </w:t>
            </w:r>
          </w:p>
        </w:tc>
      </w:tr>
    </w:tbl>
    <w:p w14:paraId="52946FBE" w14:textId="77777777" w:rsidR="002D29C3" w:rsidRDefault="00000000">
      <w:pPr>
        <w:spacing w:after="0" w:line="259" w:lineRule="auto"/>
        <w:ind w:left="0" w:right="0" w:firstLine="0"/>
      </w:pPr>
      <w:r>
        <w:t xml:space="preserve"> </w:t>
      </w:r>
    </w:p>
    <w:p w14:paraId="238FBE5E" w14:textId="77777777" w:rsidR="002D29C3" w:rsidRDefault="00000000">
      <w:pPr>
        <w:ind w:left="-5" w:right="0"/>
      </w:pPr>
      <w:r>
        <w:t xml:space="preserve">Pruebas electrofisiológicas son las pruebas más sensibles y específicas, muestran anormalidades que indican involucro multifocal desmielinizante: </w:t>
      </w:r>
    </w:p>
    <w:p w14:paraId="5C86D6AB" w14:textId="77777777" w:rsidR="002D29C3" w:rsidRDefault="00000000">
      <w:pPr>
        <w:numPr>
          <w:ilvl w:val="0"/>
          <w:numId w:val="3"/>
        </w:numPr>
        <w:spacing w:after="30"/>
        <w:ind w:right="0" w:hanging="151"/>
      </w:pPr>
      <w:r>
        <w:t xml:space="preserve">Bloqueo parcial de la conducción, anormalidad temprana más frecuente. </w:t>
      </w:r>
    </w:p>
    <w:p w14:paraId="3BE632A4" w14:textId="77777777" w:rsidR="002D29C3" w:rsidRDefault="00000000">
      <w:pPr>
        <w:numPr>
          <w:ilvl w:val="0"/>
          <w:numId w:val="3"/>
        </w:numPr>
        <w:spacing w:after="29"/>
        <w:ind w:right="0" w:hanging="151"/>
      </w:pPr>
      <w:r>
        <w:t xml:space="preserve">Velocidad de conducción disminuida, reflejan el segmento desmielinizado. </w:t>
      </w:r>
    </w:p>
    <w:p w14:paraId="0931933A" w14:textId="77777777" w:rsidR="002D29C3" w:rsidRDefault="00000000">
      <w:pPr>
        <w:numPr>
          <w:ilvl w:val="0"/>
          <w:numId w:val="3"/>
        </w:numPr>
        <w:ind w:right="0" w:hanging="151"/>
      </w:pPr>
      <w:r>
        <w:t xml:space="preserve">Dispersión temporal anormal. • Latencia distal prolongada. </w:t>
      </w:r>
    </w:p>
    <w:p w14:paraId="4DE9BCC9" w14:textId="77777777" w:rsidR="002D29C3" w:rsidRDefault="00000000">
      <w:pPr>
        <w:spacing w:after="0" w:line="259" w:lineRule="auto"/>
        <w:ind w:left="0" w:right="0" w:firstLine="0"/>
      </w:pPr>
      <w:r>
        <w:t xml:space="preserve"> </w:t>
      </w:r>
    </w:p>
    <w:p w14:paraId="1AFC4503" w14:textId="77777777" w:rsidR="002D29C3" w:rsidRDefault="00000000">
      <w:pPr>
        <w:spacing w:after="0" w:line="259" w:lineRule="auto"/>
        <w:ind w:left="1288" w:right="0" w:firstLine="0"/>
      </w:pPr>
      <w:r>
        <w:rPr>
          <w:noProof/>
        </w:rPr>
        <w:drawing>
          <wp:inline distT="0" distB="0" distL="0" distR="0" wp14:anchorId="1BA7B6EE" wp14:editId="0C217978">
            <wp:extent cx="3534156" cy="3686556"/>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8"/>
                    <a:stretch>
                      <a:fillRect/>
                    </a:stretch>
                  </pic:blipFill>
                  <pic:spPr>
                    <a:xfrm>
                      <a:off x="0" y="0"/>
                      <a:ext cx="3534156" cy="3686556"/>
                    </a:xfrm>
                    <a:prstGeom prst="rect">
                      <a:avLst/>
                    </a:prstGeom>
                  </pic:spPr>
                </pic:pic>
              </a:graphicData>
            </a:graphic>
          </wp:inline>
        </w:drawing>
      </w:r>
    </w:p>
    <w:p w14:paraId="5AF03D55" w14:textId="77777777" w:rsidR="002D29C3" w:rsidRDefault="00000000">
      <w:pPr>
        <w:spacing w:after="0" w:line="240" w:lineRule="auto"/>
        <w:ind w:left="0" w:right="0" w:firstLine="0"/>
        <w:jc w:val="center"/>
      </w:pPr>
      <w:r>
        <w:rPr>
          <w:b/>
        </w:rPr>
        <w:t xml:space="preserve">Estudio electromiografico indicativo de neuropatía motora axial y desmielizante de miembros torácicos y pélvicos sin dato de radiculopatia actual </w:t>
      </w:r>
    </w:p>
    <w:p w14:paraId="4D6DDD64" w14:textId="77777777" w:rsidR="002D29C3" w:rsidRDefault="00000000">
      <w:pPr>
        <w:spacing w:after="0" w:line="259" w:lineRule="auto"/>
        <w:ind w:left="0" w:right="0" w:firstLine="0"/>
      </w:pPr>
      <w:r>
        <w:rPr>
          <w:b/>
        </w:rPr>
        <w:t xml:space="preserve"> </w:t>
      </w:r>
    </w:p>
    <w:p w14:paraId="0AD3144E" w14:textId="77777777" w:rsidR="002D29C3" w:rsidRDefault="00000000">
      <w:pPr>
        <w:spacing w:after="0" w:line="259" w:lineRule="auto"/>
        <w:ind w:left="0" w:right="0" w:firstLine="0"/>
      </w:pPr>
      <w:r>
        <w:rPr>
          <w:b/>
        </w:rPr>
        <w:lastRenderedPageBreak/>
        <w:t xml:space="preserve"> </w:t>
      </w:r>
    </w:p>
    <w:p w14:paraId="5EBEB90B" w14:textId="77777777" w:rsidR="002D29C3" w:rsidRDefault="00000000">
      <w:pPr>
        <w:spacing w:after="0" w:line="259" w:lineRule="auto"/>
        <w:ind w:left="0" w:right="0" w:firstLine="0"/>
      </w:pPr>
      <w:r>
        <w:rPr>
          <w:b/>
        </w:rPr>
        <w:t xml:space="preserve"> </w:t>
      </w:r>
    </w:p>
    <w:p w14:paraId="55CDCA7D" w14:textId="77777777" w:rsidR="002D29C3" w:rsidRDefault="00000000">
      <w:pPr>
        <w:spacing w:after="0" w:line="259" w:lineRule="auto"/>
        <w:ind w:left="0" w:right="0" w:firstLine="0"/>
      </w:pPr>
      <w:r>
        <w:rPr>
          <w:b/>
        </w:rPr>
        <w:t xml:space="preserve"> </w:t>
      </w:r>
    </w:p>
    <w:p w14:paraId="52DE020A" w14:textId="77777777" w:rsidR="002D29C3" w:rsidRDefault="00000000">
      <w:pPr>
        <w:spacing w:after="0" w:line="259" w:lineRule="auto"/>
        <w:ind w:left="0" w:right="0" w:firstLine="0"/>
      </w:pPr>
      <w:r>
        <w:rPr>
          <w:b/>
        </w:rPr>
        <w:t xml:space="preserve"> </w:t>
      </w:r>
    </w:p>
    <w:p w14:paraId="2A01114D" w14:textId="77777777" w:rsidR="002D29C3" w:rsidRDefault="00000000">
      <w:pPr>
        <w:spacing w:after="0" w:line="259" w:lineRule="auto"/>
        <w:ind w:left="0" w:right="0" w:firstLine="0"/>
      </w:pPr>
      <w:r>
        <w:rPr>
          <w:b/>
        </w:rPr>
        <w:t xml:space="preserve"> </w:t>
      </w:r>
    </w:p>
    <w:p w14:paraId="06017E62" w14:textId="77777777" w:rsidR="002D29C3" w:rsidRDefault="00000000">
      <w:pPr>
        <w:spacing w:after="3" w:line="259" w:lineRule="auto"/>
        <w:ind w:left="-5" w:right="0"/>
      </w:pPr>
      <w:r>
        <w:rPr>
          <w:b/>
        </w:rPr>
        <w:t xml:space="preserve">Plan terapéutico  </w:t>
      </w:r>
    </w:p>
    <w:p w14:paraId="025A2D0D" w14:textId="77777777" w:rsidR="002D29C3" w:rsidRDefault="00000000">
      <w:pPr>
        <w:pStyle w:val="Ttulo1"/>
        <w:ind w:left="-5"/>
      </w:pPr>
      <w:r>
        <w:t xml:space="preserve">Inmunoglobulina intravenosa </w:t>
      </w:r>
    </w:p>
    <w:p w14:paraId="587F0F15" w14:textId="77777777" w:rsidR="002D29C3" w:rsidRDefault="00000000">
      <w:pPr>
        <w:ind w:left="-5" w:right="95"/>
      </w:pPr>
      <w:r>
        <w:t xml:space="preserve">-Se recomienda que la inmunoglobulina intravenosa se administre en los primeros 5 días después del inicio de los síntomas de la enfermedad; sin embargo, puede considerarse su aplicación hasta 4 semanas después de los síntomas neuropáticos </w:t>
      </w:r>
      <w:r>
        <w:rPr>
          <w:b/>
        </w:rPr>
        <w:t xml:space="preserve">Plasmaferesis  </w:t>
      </w:r>
    </w:p>
    <w:p w14:paraId="1D727DC9" w14:textId="77777777" w:rsidR="002D29C3" w:rsidRDefault="00000000">
      <w:pPr>
        <w:ind w:left="-5" w:right="0"/>
      </w:pPr>
      <w:r>
        <w:t xml:space="preserve">Corticoesteroides  </w:t>
      </w:r>
    </w:p>
    <w:p w14:paraId="4C505ABD" w14:textId="77777777" w:rsidR="002D29C3" w:rsidRDefault="00000000">
      <w:pPr>
        <w:ind w:left="-5" w:right="0"/>
      </w:pPr>
      <w:r>
        <w:t xml:space="preserve">-No es recomendable administrar esteroides orales, ni parenterales (metilprednisolona) en pacientes con síndrome de Guillain Barré. </w:t>
      </w:r>
    </w:p>
    <w:p w14:paraId="41B5F2E1" w14:textId="77777777" w:rsidR="002D29C3" w:rsidRDefault="00000000">
      <w:pPr>
        <w:ind w:left="-5" w:right="0"/>
      </w:pPr>
      <w:r>
        <w:t xml:space="preserve">-Se recomienda el uso de </w:t>
      </w:r>
      <w:r>
        <w:rPr>
          <w:b/>
        </w:rPr>
        <w:t>paracetamol u otros AINE</w:t>
      </w:r>
      <w:r>
        <w:t xml:space="preserve"> como medicamentos de primera línea para el control del dolor en pacientes con síndrome de Guillain Barré leve y moderado </w:t>
      </w:r>
    </w:p>
    <w:p w14:paraId="7C3382FE" w14:textId="77777777" w:rsidR="002D29C3" w:rsidRDefault="00000000">
      <w:pPr>
        <w:ind w:left="-5" w:right="0"/>
      </w:pPr>
      <w:r>
        <w:t xml:space="preserve">Gabapentina o carbamacepina  </w:t>
      </w:r>
    </w:p>
    <w:p w14:paraId="5F3541A2" w14:textId="77777777" w:rsidR="002D29C3" w:rsidRDefault="00000000">
      <w:pPr>
        <w:ind w:left="-5" w:right="0"/>
      </w:pPr>
      <w:r>
        <w:rPr>
          <w:rFonts w:ascii="Segoe UI Symbol" w:eastAsia="Segoe UI Symbol" w:hAnsi="Segoe UI Symbol" w:cs="Segoe UI Symbol"/>
        </w:rPr>
        <w:t></w:t>
      </w:r>
      <w:r>
        <w:t xml:space="preserve"> Gabapentina o carbamacepina con opióides por vía parenteral (</w:t>
      </w:r>
      <w:r>
        <w:rPr>
          <w:b/>
        </w:rPr>
        <w:t>buprenorfina o fentanilo</w:t>
      </w:r>
      <w:r>
        <w:t xml:space="preserve">); considerando que la dosis necesaria de opióides se reduce cuando se combina con anticonvulsivantes. </w:t>
      </w:r>
    </w:p>
    <w:p w14:paraId="1923CB55" w14:textId="77777777" w:rsidR="002D29C3" w:rsidRDefault="00000000">
      <w:pPr>
        <w:ind w:left="-5" w:right="0"/>
      </w:pPr>
      <w:r>
        <w:t xml:space="preserve">-En paciente hospitalizado con síndrome de Guillain Barré que no deambula se recomienda el uso de </w:t>
      </w:r>
      <w:r>
        <w:rPr>
          <w:b/>
        </w:rPr>
        <w:t>enoxaparina</w:t>
      </w:r>
      <w:r>
        <w:t xml:space="preserve"> subcutánea profiláctica (40 mg diarios) hasta que sea capaz de caminar de manera independiente. </w:t>
      </w:r>
    </w:p>
    <w:p w14:paraId="0D3C2970" w14:textId="77777777" w:rsidR="002D29C3" w:rsidRDefault="00000000">
      <w:pPr>
        <w:ind w:left="-5" w:right="0"/>
      </w:pPr>
      <w:r>
        <w:t xml:space="preserve">-Se recomienda realizar intubación endotraqueal y ventilación mecánica bajo sedación y analgesia temprana y programada en pacientes que presenten factores predictivos de falla ventilatoria: 1. Tiempo entre el inicio de los síntomas y la admisión menor a 7 días. 2. Incapacidad para toser. 3. Incapacidad para pararse. -Se recomienda el uso de medias elásticas de compresión (18-21 mmHg), durante el período de incapacidad </w:t>
      </w:r>
    </w:p>
    <w:p w14:paraId="580E71F2" w14:textId="77777777" w:rsidR="002D29C3" w:rsidRDefault="00000000">
      <w:pPr>
        <w:ind w:left="-5" w:right="0"/>
      </w:pPr>
      <w:r>
        <w:t xml:space="preserve">-Se sugiere que la realización de </w:t>
      </w:r>
      <w:r>
        <w:rPr>
          <w:b/>
        </w:rPr>
        <w:t>traqueostomía</w:t>
      </w:r>
      <w:r>
        <w:t xml:space="preserve"> se postergue hasta las 2 primeras semanas de intubación. Si las pruebas de función respiratoria no muestran datos de mejoría, se recomienda realizarla. </w:t>
      </w:r>
    </w:p>
    <w:p w14:paraId="3D363CF6" w14:textId="77777777" w:rsidR="002D29C3" w:rsidRDefault="00000000">
      <w:pPr>
        <w:ind w:left="-5" w:right="0"/>
      </w:pPr>
      <w:r>
        <w:t xml:space="preserve">-Es recomendable establecer medidas de fisioterapia pulmonar (ejercicios respiratorios, percusión, vibración, movilización torácica y drenaje postural) al paciente con síndrome de Guillain Barré, para minimizar complicaciones como neumonía o atelectasia durante la ventilación mecánica y después de la extubación. </w:t>
      </w:r>
    </w:p>
    <w:p w14:paraId="64CD805B" w14:textId="77777777" w:rsidR="002D29C3" w:rsidRDefault="00000000">
      <w:pPr>
        <w:spacing w:after="0" w:line="259" w:lineRule="auto"/>
        <w:ind w:left="0" w:right="0" w:firstLine="0"/>
      </w:pPr>
      <w:r>
        <w:t xml:space="preserve"> </w:t>
      </w:r>
    </w:p>
    <w:p w14:paraId="3AC21ED7" w14:textId="77777777" w:rsidR="002D29C3" w:rsidRDefault="00000000">
      <w:pPr>
        <w:pStyle w:val="Ttulo1"/>
        <w:ind w:left="-5"/>
      </w:pPr>
      <w:r>
        <w:t xml:space="preserve">Comentario  </w:t>
      </w:r>
    </w:p>
    <w:p w14:paraId="4425FAA4" w14:textId="77777777" w:rsidR="002D29C3" w:rsidRDefault="00000000">
      <w:pPr>
        <w:ind w:left="-5" w:right="903"/>
      </w:pPr>
      <w:r>
        <w:t xml:space="preserve">se trata de un paciente en estado grave ya que el guillain barre evoluciono rápido  </w:t>
      </w:r>
    </w:p>
    <w:p w14:paraId="000D4BEF" w14:textId="77777777" w:rsidR="002D29C3" w:rsidRDefault="00000000">
      <w:pPr>
        <w:ind w:left="-5" w:right="0"/>
      </w:pPr>
      <w:r>
        <w:t xml:space="preserve">el cuadro clínico que presento este paciente fue como lo describe la guía de referencia rápida   el cual empezó con un cuadro clínico gastrointestinal y evolución en debilidad de miembros inferiores y dificultad respiratoria, ya que acudió al hospital fue que se pudo realizar un tratamiento solicitándole una TAC </w:t>
      </w:r>
      <w:r>
        <w:lastRenderedPageBreak/>
        <w:t xml:space="preserve">para descartar alguna complicación e iniciando tratamiento con inmunoglobulina intravenosa. ya valorado por neurología fue que se decide que el paciente debe ser tratado por medicina interna por que necesita apoyo ventilatorio ya que tenía una complicación de neumonía la cual complico más después de dos meses de estar internado se decide quitar la traqueostomia y ver que el paciente respire por si solo y se decide dar su alta para continuar sus cuidados en casa y seguimiento de medicina física para su recuperación  ya que esta enfermedad está asociada a lo autoinmune el paciente salió negativo al panel viral. </w:t>
      </w:r>
    </w:p>
    <w:p w14:paraId="1926C7F3" w14:textId="77777777" w:rsidR="002D29C3" w:rsidRDefault="00000000">
      <w:pPr>
        <w:ind w:left="-5" w:right="0"/>
      </w:pPr>
      <w:r>
        <w:t xml:space="preserve">Se le tiene que dar seguimiento al paciente para su recuperación ya que el 80% recuperar la función, pero puede tardar de 6-8 meses considerando que el paciente si recibió el tratamiento adecuado. </w:t>
      </w:r>
    </w:p>
    <w:p w14:paraId="7FD16AA0" w14:textId="77777777" w:rsidR="002D29C3" w:rsidRDefault="00000000">
      <w:pPr>
        <w:ind w:left="-5" w:right="0"/>
      </w:pPr>
      <w:r>
        <w:t xml:space="preserve">No excluyendo que puede tener alguna otra complicación ya que se encuentra en un medio hospitalario y adquirir otra enfermedad nosocomial  y por dichas complicaciones la calidad de vida del paciente es malo  </w:t>
      </w:r>
    </w:p>
    <w:p w14:paraId="1FF47036" w14:textId="77777777" w:rsidR="002D29C3" w:rsidRDefault="00000000">
      <w:pPr>
        <w:spacing w:after="0" w:line="259" w:lineRule="auto"/>
        <w:ind w:left="0" w:right="0" w:firstLine="0"/>
      </w:pPr>
      <w:r>
        <w:t xml:space="preserve"> </w:t>
      </w:r>
    </w:p>
    <w:p w14:paraId="7F81813C" w14:textId="77777777" w:rsidR="002D29C3" w:rsidRDefault="00000000">
      <w:pPr>
        <w:spacing w:after="3" w:line="259" w:lineRule="auto"/>
        <w:ind w:left="-5" w:right="0"/>
      </w:pPr>
      <w:r>
        <w:rPr>
          <w:b/>
        </w:rPr>
        <w:t xml:space="preserve">Pronostico: </w:t>
      </w:r>
    </w:p>
    <w:p w14:paraId="2647CECA" w14:textId="77777777" w:rsidR="002D29C3" w:rsidRDefault="00000000">
      <w:pPr>
        <w:ind w:left="-5" w:right="0"/>
      </w:pPr>
      <w:r>
        <w:t xml:space="preserve">Reservado y malo para la función  </w:t>
      </w:r>
    </w:p>
    <w:p w14:paraId="2BD4D5C1" w14:textId="77777777" w:rsidR="002D29C3" w:rsidRDefault="00000000">
      <w:pPr>
        <w:spacing w:after="0" w:line="259" w:lineRule="auto"/>
        <w:ind w:left="0" w:right="0" w:firstLine="0"/>
      </w:pPr>
      <w:r>
        <w:t xml:space="preserve"> </w:t>
      </w:r>
    </w:p>
    <w:p w14:paraId="1F1913B3" w14:textId="77777777" w:rsidR="002D29C3" w:rsidRDefault="00000000">
      <w:pPr>
        <w:spacing w:after="0" w:line="259" w:lineRule="auto"/>
        <w:ind w:left="0" w:right="0" w:firstLine="0"/>
      </w:pPr>
      <w:r>
        <w:t xml:space="preserve"> </w:t>
      </w:r>
    </w:p>
    <w:p w14:paraId="2015718D" w14:textId="77777777" w:rsidR="002D29C3" w:rsidRDefault="00000000">
      <w:pPr>
        <w:spacing w:after="0" w:line="259" w:lineRule="auto"/>
        <w:ind w:left="76" w:right="0" w:firstLine="0"/>
        <w:jc w:val="center"/>
      </w:pPr>
      <w:r>
        <w:t xml:space="preserve"> </w:t>
      </w:r>
    </w:p>
    <w:p w14:paraId="71B1F88C" w14:textId="77777777" w:rsidR="002D29C3" w:rsidRDefault="00000000">
      <w:pPr>
        <w:spacing w:after="0" w:line="259" w:lineRule="auto"/>
        <w:ind w:left="76" w:right="0" w:firstLine="0"/>
        <w:jc w:val="center"/>
      </w:pPr>
      <w:r>
        <w:t xml:space="preserve"> </w:t>
      </w:r>
    </w:p>
    <w:p w14:paraId="53991A41" w14:textId="77777777" w:rsidR="002D29C3" w:rsidRDefault="00000000">
      <w:pPr>
        <w:spacing w:after="160" w:line="259" w:lineRule="auto"/>
        <w:ind w:left="0" w:right="0" w:firstLine="0"/>
      </w:pPr>
      <w:r>
        <w:t xml:space="preserve"> </w:t>
      </w:r>
    </w:p>
    <w:p w14:paraId="33911225" w14:textId="77777777" w:rsidR="002D29C3" w:rsidRDefault="00000000">
      <w:pPr>
        <w:spacing w:after="160" w:line="259" w:lineRule="auto"/>
        <w:ind w:left="0" w:right="0" w:firstLine="0"/>
      </w:pPr>
      <w:r>
        <w:t xml:space="preserve"> </w:t>
      </w:r>
    </w:p>
    <w:p w14:paraId="5F71E9CF" w14:textId="77777777" w:rsidR="002D29C3" w:rsidRDefault="00000000">
      <w:pPr>
        <w:spacing w:after="160" w:line="259" w:lineRule="auto"/>
        <w:ind w:left="0" w:right="0" w:firstLine="0"/>
      </w:pPr>
      <w:r>
        <w:t xml:space="preserve"> </w:t>
      </w:r>
    </w:p>
    <w:p w14:paraId="30239845" w14:textId="77777777" w:rsidR="002D29C3" w:rsidRDefault="00000000">
      <w:pPr>
        <w:spacing w:after="158" w:line="259" w:lineRule="auto"/>
        <w:ind w:left="0" w:right="0" w:firstLine="0"/>
      </w:pPr>
      <w:r>
        <w:t xml:space="preserve"> </w:t>
      </w:r>
    </w:p>
    <w:p w14:paraId="60956263" w14:textId="77777777" w:rsidR="002D29C3" w:rsidRDefault="00000000">
      <w:pPr>
        <w:spacing w:after="0" w:line="259" w:lineRule="auto"/>
        <w:ind w:left="0" w:right="0" w:firstLine="0"/>
      </w:pPr>
      <w:r>
        <w:t xml:space="preserve"> </w:t>
      </w:r>
    </w:p>
    <w:sectPr w:rsidR="002D29C3">
      <w:headerReference w:type="even" r:id="rId9"/>
      <w:headerReference w:type="default" r:id="rId10"/>
      <w:headerReference w:type="first" r:id="rId11"/>
      <w:pgSz w:w="12240" w:h="15840"/>
      <w:pgMar w:top="749" w:right="1709" w:bottom="1424"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1D5A" w14:textId="77777777" w:rsidR="00711518" w:rsidRDefault="00711518">
      <w:pPr>
        <w:spacing w:after="0" w:line="240" w:lineRule="auto"/>
      </w:pPr>
      <w:r>
        <w:separator/>
      </w:r>
    </w:p>
  </w:endnote>
  <w:endnote w:type="continuationSeparator" w:id="0">
    <w:p w14:paraId="7773FE1F" w14:textId="77777777" w:rsidR="00711518" w:rsidRDefault="0071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914E" w14:textId="77777777" w:rsidR="00711518" w:rsidRDefault="00711518">
      <w:pPr>
        <w:spacing w:after="0" w:line="240" w:lineRule="auto"/>
      </w:pPr>
      <w:r>
        <w:separator/>
      </w:r>
    </w:p>
  </w:footnote>
  <w:footnote w:type="continuationSeparator" w:id="0">
    <w:p w14:paraId="15973940" w14:textId="77777777" w:rsidR="00711518" w:rsidRDefault="0071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D191" w14:textId="77777777" w:rsidR="002D29C3"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BE0DAB8" wp14:editId="6C33953E">
              <wp:simplePos x="0" y="0"/>
              <wp:positionH relativeFrom="page">
                <wp:posOffset>0</wp:posOffset>
              </wp:positionH>
              <wp:positionV relativeFrom="page">
                <wp:posOffset>0</wp:posOffset>
              </wp:positionV>
              <wp:extent cx="7772400" cy="10058399"/>
              <wp:effectExtent l="0" t="0" r="0" b="0"/>
              <wp:wrapNone/>
              <wp:docPr id="5484" name="Group 5484"/>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pic:pic xmlns:pic="http://schemas.openxmlformats.org/drawingml/2006/picture">
                      <pic:nvPicPr>
                        <pic:cNvPr id="5485" name="Picture 5485"/>
                        <pic:cNvPicPr/>
                      </pic:nvPicPr>
                      <pic:blipFill>
                        <a:blip r:embed="rId1"/>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5484" style="width:612pt;height:792pt;position:absolute;z-index:-2147483648;mso-position-horizontal-relative:page;mso-position-horizontal:absolute;margin-left:0pt;mso-position-vertical-relative:page;margin-top:0pt;" coordsize="77724,100583">
              <v:shape id="Picture 5485" style="position:absolute;width:77724;height:100553;left:0;top:0;" filled="f">
                <v:imagedata r:id="rId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F651" w14:textId="77777777" w:rsidR="002D29C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1F1588C" wp14:editId="72DEB16C">
              <wp:simplePos x="0" y="0"/>
              <wp:positionH relativeFrom="page">
                <wp:posOffset>0</wp:posOffset>
              </wp:positionH>
              <wp:positionV relativeFrom="page">
                <wp:posOffset>0</wp:posOffset>
              </wp:positionV>
              <wp:extent cx="7772400" cy="10058399"/>
              <wp:effectExtent l="0" t="0" r="0" b="0"/>
              <wp:wrapNone/>
              <wp:docPr id="5481" name="Group 5481"/>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pic:pic xmlns:pic="http://schemas.openxmlformats.org/drawingml/2006/picture">
                      <pic:nvPicPr>
                        <pic:cNvPr id="5482" name="Picture 5482"/>
                        <pic:cNvPicPr/>
                      </pic:nvPicPr>
                      <pic:blipFill>
                        <a:blip r:embed="rId1"/>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5481" style="width:612pt;height:792pt;position:absolute;z-index:-2147483648;mso-position-horizontal-relative:page;mso-position-horizontal:absolute;margin-left:0pt;mso-position-vertical-relative:page;margin-top:0pt;" coordsize="77724,100583">
              <v:shape id="Picture 5482" style="position:absolute;width:77724;height:100553;left:0;top:0;" filled="f">
                <v:imagedata r:id="rId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59DA" w14:textId="77777777" w:rsidR="002D29C3"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4496FC6" wp14:editId="7051DC5D">
              <wp:simplePos x="0" y="0"/>
              <wp:positionH relativeFrom="page">
                <wp:posOffset>0</wp:posOffset>
              </wp:positionH>
              <wp:positionV relativeFrom="page">
                <wp:posOffset>0</wp:posOffset>
              </wp:positionV>
              <wp:extent cx="7772400" cy="10058399"/>
              <wp:effectExtent l="0" t="0" r="0" b="0"/>
              <wp:wrapNone/>
              <wp:docPr id="5478" name="Group 547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pic:pic xmlns:pic="http://schemas.openxmlformats.org/drawingml/2006/picture">
                      <pic:nvPicPr>
                        <pic:cNvPr id="5479" name="Picture 5479"/>
                        <pic:cNvPicPr/>
                      </pic:nvPicPr>
                      <pic:blipFill>
                        <a:blip r:embed="rId1"/>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5478" style="width:612pt;height:792pt;position:absolute;z-index:-2147483648;mso-position-horizontal-relative:page;mso-position-horizontal:absolute;margin-left:0pt;mso-position-vertical-relative:page;margin-top:0pt;" coordsize="77724,100583">
              <v:shape id="Picture 5479" style="position:absolute;width:77724;height:100553;left:0;top:0;" filled="f">
                <v:imagedata r:id="rId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15B9F"/>
    <w:multiLevelType w:val="hybridMultilevel"/>
    <w:tmpl w:val="7E10AE82"/>
    <w:lvl w:ilvl="0" w:tplc="67989D96">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ECC33C">
      <w:start w:val="1"/>
      <w:numFmt w:val="lowerLetter"/>
      <w:lvlText w:val="%2"/>
      <w:lvlJc w:val="left"/>
      <w:pPr>
        <w:ind w:left="1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DC63AA">
      <w:start w:val="1"/>
      <w:numFmt w:val="lowerRoman"/>
      <w:lvlText w:val="%3"/>
      <w:lvlJc w:val="left"/>
      <w:pPr>
        <w:ind w:left="1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B47088">
      <w:start w:val="1"/>
      <w:numFmt w:val="decimal"/>
      <w:lvlText w:val="%4"/>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CA46A4">
      <w:start w:val="1"/>
      <w:numFmt w:val="lowerLetter"/>
      <w:lvlText w:val="%5"/>
      <w:lvlJc w:val="left"/>
      <w:pPr>
        <w:ind w:left="3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C8C8AA">
      <w:start w:val="1"/>
      <w:numFmt w:val="lowerRoman"/>
      <w:lvlText w:val="%6"/>
      <w:lvlJc w:val="left"/>
      <w:pPr>
        <w:ind w:left="3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6AF552">
      <w:start w:val="1"/>
      <w:numFmt w:val="decimal"/>
      <w:lvlText w:val="%7"/>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027396">
      <w:start w:val="1"/>
      <w:numFmt w:val="lowerLetter"/>
      <w:lvlText w:val="%8"/>
      <w:lvlJc w:val="left"/>
      <w:pPr>
        <w:ind w:left="5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44270C">
      <w:start w:val="1"/>
      <w:numFmt w:val="lowerRoman"/>
      <w:lvlText w:val="%9"/>
      <w:lvlJc w:val="left"/>
      <w:pPr>
        <w:ind w:left="6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271C3E"/>
    <w:multiLevelType w:val="hybridMultilevel"/>
    <w:tmpl w:val="C7B85392"/>
    <w:lvl w:ilvl="0" w:tplc="575820E8">
      <w:start w:val="1"/>
      <w:numFmt w:val="bullet"/>
      <w:lvlText w:val="•"/>
      <w:lvlJc w:val="left"/>
      <w:pPr>
        <w:ind w:left="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7EB2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BC43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C8CA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8C844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1ECB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68BF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F039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A243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00484C"/>
    <w:multiLevelType w:val="hybridMultilevel"/>
    <w:tmpl w:val="83B66858"/>
    <w:lvl w:ilvl="0" w:tplc="9336292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8ACDA4">
      <w:start w:val="1"/>
      <w:numFmt w:val="bullet"/>
      <w:lvlText w:val="o"/>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1EC464">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0601B4">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FA7736">
      <w:start w:val="1"/>
      <w:numFmt w:val="bullet"/>
      <w:lvlText w:val="o"/>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B80304">
      <w:start w:val="1"/>
      <w:numFmt w:val="bullet"/>
      <w:lvlText w:val="▪"/>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FE7706">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0E76C6">
      <w:start w:val="1"/>
      <w:numFmt w:val="bullet"/>
      <w:lvlText w:val="o"/>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C1AF6">
      <w:start w:val="1"/>
      <w:numFmt w:val="bullet"/>
      <w:lvlText w:val="▪"/>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65366052">
    <w:abstractNumId w:val="1"/>
  </w:num>
  <w:num w:numId="2" w16cid:durableId="1525944453">
    <w:abstractNumId w:val="0"/>
  </w:num>
  <w:num w:numId="3" w16cid:durableId="71920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9C3"/>
    <w:rsid w:val="00172602"/>
    <w:rsid w:val="002D29C3"/>
    <w:rsid w:val="00711518"/>
    <w:rsid w:val="00DD3C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006"/>
  <w15:docId w15:val="{BB80535E-57FE-4092-B22D-1EAC9F13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622" w:hanging="10"/>
    </w:pPr>
    <w:rPr>
      <w:rFonts w:ascii="Arial" w:eastAsia="Arial" w:hAnsi="Arial" w:cs="Arial"/>
      <w:color w:val="000000"/>
    </w:rPr>
  </w:style>
  <w:style w:type="paragraph" w:styleId="Ttulo1">
    <w:name w:val="heading 1"/>
    <w:next w:val="Normal"/>
    <w:link w:val="Ttulo1Car"/>
    <w:uiPriority w:val="9"/>
    <w:qFormat/>
    <w:pPr>
      <w:keepNext/>
      <w:keepLines/>
      <w:spacing w:after="3" w:line="259" w:lineRule="auto"/>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6" Type="http://schemas.openxmlformats.org/officeDocument/2006/relationships/image" Target="media/image30.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6" Type="http://schemas.openxmlformats.org/officeDocument/2006/relationships/image" Target="media/image30.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 Id="rId6" Type="http://schemas.openxmlformats.org/officeDocument/2006/relationships/image" Target="media/image3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1246</Words>
  <Characters>6856</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Vicko</dc:creator>
  <cp:keywords/>
  <cp:lastModifiedBy>claudia rubio</cp:lastModifiedBy>
  <cp:revision>2</cp:revision>
  <dcterms:created xsi:type="dcterms:W3CDTF">2025-11-13T22:51:00Z</dcterms:created>
  <dcterms:modified xsi:type="dcterms:W3CDTF">2025-11-13T22:51:00Z</dcterms:modified>
</cp:coreProperties>
</file>