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HOSPITAL INTERZONAL GENERAL DE AGUDOS “Gral. SAN MARTIN” -La Plata-</w:t>
        <w:br/>
      </w:r>
      <w:r>
        <w:t>SERVICIO DE NEUROLOGÍA</w:t>
        <w:br/>
        <w:t>SECCIÓN DE ENFERMEDADES DESMIELINIZANTES</w:t>
        <w:br/>
      </w:r>
    </w:p>
    <w:p>
      <w:pPr>
        <w:jc w:val="center"/>
      </w:pPr>
      <w:r>
        <w:rPr>
          <w:b/>
          <w:sz w:val="24"/>
          <w:u w:val="single"/>
        </w:rPr>
        <w:t>RESUMEN DE HISTORIA CLÍNICA - URGENTE</w:t>
      </w:r>
    </w:p>
    <w:p>
      <w:r>
        <w:t>La Plata, 8 de Febrero de 2026</w:t>
      </w:r>
    </w:p>
    <w:p>
      <w:r>
        <w:rPr>
          <w:b/>
        </w:rPr>
        <w:t xml:space="preserve">Apellido y nombre: </w:t>
      </w:r>
      <w:r>
        <w:t>Milo Lopez Gonzalez.</w:t>
        <w:tab/>
      </w:r>
      <w:r>
        <w:rPr>
          <w:b/>
        </w:rPr>
        <w:t xml:space="preserve">DNI: </w:t>
      </w:r>
      <w:r>
        <w:t>39104372</w:t>
        <w:br/>
      </w:r>
      <w:r>
        <w:rPr>
          <w:b/>
        </w:rPr>
        <w:t xml:space="preserve">Fecha de Nacimiento: </w:t>
      </w:r>
      <w:r>
        <w:t>17/02/1989</w:t>
        <w:tab/>
      </w:r>
      <w:r>
        <w:rPr>
          <w:b/>
        </w:rPr>
        <w:t>Obra Social: IOMA</w:t>
        <w:tab/>
        <w:tab/>
        <w:t xml:space="preserve">Nº de afiliado: </w:t>
      </w:r>
      <w:r>
        <w:t>39104372/00</w:t>
        <w:br/>
      </w:r>
      <w:r>
        <w:rPr>
          <w:b/>
        </w:rPr>
        <w:t xml:space="preserve">Asistida desde: </w:t>
      </w:r>
      <w:r>
        <w:t>12/02/2012</w:t>
      </w:r>
    </w:p>
    <w:p>
      <w:r>
        <w:rPr>
          <w:b/>
        </w:rPr>
        <w:t xml:space="preserve">Antecedentes personales: </w:t>
      </w:r>
      <w:r>
        <w:t xml:space="preserve">Niega alergias medicamentosas. Tabaquismo leve. </w:t>
      </w:r>
    </w:p>
    <w:p>
      <w:r>
        <w:rPr>
          <w:b/>
        </w:rPr>
        <w:t xml:space="preserve">Síntomas principales: </w:t>
      </w:r>
      <w:r>
        <w:t xml:space="preserve">Curso de brotes y remisiones. </w:t>
      </w:r>
      <w:r>
        <w:t xml:space="preserve">Debut en 2012 con parestesias y neuritis óptica. </w:t>
      </w:r>
    </w:p>
    <w:p>
      <w:r>
        <w:rPr>
          <w:b/>
        </w:rPr>
        <w:t xml:space="preserve">Evolución: </w:t>
      </w:r>
      <w:r>
        <w:t xml:space="preserve">Presentó recaída clínica reciente motor/sensitiva. </w:t>
      </w:r>
      <w:r>
        <w:t>Tiempo de evolución: 14 años.</w:t>
        <w:br/>
      </w:r>
      <w:r>
        <w:t>EDSS actual: 5.0.</w:t>
      </w:r>
    </w:p>
    <w:p>
      <w:pPr>
        <w:pStyle w:val="Heading3"/>
      </w:pPr>
      <w:r>
        <w:t>Estudios realizados:</w:t>
      </w:r>
    </w:p>
    <w:p>
      <w:r>
        <w:t>• RMN de cerebro y médula (14/12/25): Se observan múltiples imágenes focales (8) en sustancia blanca periventricular. Se identifica al menos una lesión con realce tras la administración de Gadolinio (Activa). Compatible con actividad inflamatoria actual.</w:t>
      </w:r>
    </w:p>
    <w:p>
      <w:r>
        <w:rPr>
          <w:b/>
        </w:rPr>
        <w:t xml:space="preserve">Solicito: </w:t>
      </w:r>
      <w:r>
        <w:t xml:space="preserve">Solicito inicio de tratamiento con: </w:t>
      </w:r>
      <w:r>
        <w:rPr>
          <w:b/>
        </w:rPr>
        <w:t>Ocrevus (Ocrelizumab).</w:t>
        <w:br/>
      </w:r>
      <w:r>
        <w:t>Dosis: 600 mg. Frecuencia: Semestral.</w:t>
        <w:br/>
      </w:r>
      <w:r>
        <w:t>Tratamiento prolongado.</w:t>
      </w:r>
    </w:p>
    <w:p>
      <w:pPr>
        <w:jc w:val="right"/>
      </w:pPr>
      <w:r>
        <w:br/>
        <w:br/>
      </w:r>
      <w:r>
        <w:t>Dr. Gonzalez Santiago</w:t>
        <w:br/>
        <w:t>Neurología Clínica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