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 xml:space="preserve">RESUMEN DE HISTORIA CLÍNICA </w:t>
      </w:r>
    </w:p>
    <w:p>
      <w:r>
        <w:t>La Plata, 18 de Septiembre de 2023</w:t>
      </w:r>
    </w:p>
    <w:p>
      <w:r>
        <w:rPr>
          <w:b/>
        </w:rPr>
        <w:t xml:space="preserve">Apellido y nombre: </w:t>
      </w:r>
      <w:r>
        <w:t>Milena Garcia Gonzalez.</w:t>
        <w:tab/>
      </w:r>
      <w:r>
        <w:rPr>
          <w:b/>
        </w:rPr>
        <w:t xml:space="preserve">DNI: </w:t>
      </w:r>
      <w:r>
        <w:t>29608963</w:t>
        <w:br/>
      </w:r>
      <w:r>
        <w:rPr>
          <w:b/>
        </w:rPr>
        <w:t xml:space="preserve">Fecha de Nacimiento: </w:t>
      </w:r>
      <w:r>
        <w:t>19/02/1981</w:t>
        <w:tab/>
      </w:r>
      <w:r>
        <w:rPr>
          <w:b/>
        </w:rPr>
        <w:t>Obra Social: IOMA</w:t>
        <w:tab/>
        <w:tab/>
        <w:t xml:space="preserve">Nº de afiliado: </w:t>
      </w:r>
      <w:r>
        <w:t>29608963/00</w:t>
        <w:br/>
      </w:r>
      <w:r>
        <w:rPr>
          <w:b/>
        </w:rPr>
        <w:t xml:space="preserve">Asistida desde: </w:t>
      </w:r>
      <w:r>
        <w:t>14/02/2004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2004 con parestesias y neuritis óptica. </w:t>
      </w:r>
    </w:p>
    <w:p>
      <w:r>
        <w:rPr>
          <w:b/>
        </w:rPr>
        <w:t xml:space="preserve">Evolución: </w:t>
      </w:r>
      <w:r>
        <w:t xml:space="preserve">Libre de recaídas clínicas en el último año. </w:t>
      </w:r>
      <w:r>
        <w:t>Tiempo de evolución: 19 años.</w:t>
        <w:br/>
      </w:r>
      <w:r>
        <w:t>EDSS actual: 2.0.</w:t>
      </w:r>
    </w:p>
    <w:p>
      <w:pPr>
        <w:pStyle w:val="Heading3"/>
      </w:pPr>
      <w:r>
        <w:t>Estudios realizados:</w:t>
      </w:r>
    </w:p>
    <w:p>
      <w:r>
        <w:t>• RMN de cerebro y médula (08/09/23): Sin cambios significativos respecto a estudios previos. Persisten lesiones desmielinizantes conocidas sin evidencia de nuevas lesiones ni captación de Gd. Enfermedad radiológicamente estable.</w:t>
      </w:r>
    </w:p>
    <w:p>
      <w:r>
        <w:rPr>
          <w:b/>
        </w:rPr>
        <w:t xml:space="preserve">Solicito: </w:t>
      </w:r>
      <w:r>
        <w:t xml:space="preserve">Solicito continuidad de tratamiento con: </w:t>
      </w:r>
      <w:r>
        <w:rPr>
          <w:b/>
        </w:rPr>
        <w:t>Tecfidera / Dimeful (Dimetil Fumarato).</w:t>
        <w:br/>
      </w:r>
      <w:r>
        <w:t>Dosis: 240 mg. Frecuencia: 2 veces por día.</w:t>
        <w:br/>
      </w:r>
      <w:r>
        <w:t>Tratamiento prolongado.</w:t>
      </w:r>
    </w:p>
    <w:p>
      <w:pPr>
        <w:jc w:val="right"/>
      </w:pPr>
      <w:r>
        <w:br/>
        <w:br/>
      </w:r>
      <w:r>
        <w:t>Dr. Garcia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