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18 de Mayo de 2019</w:t>
      </w:r>
    </w:p>
    <w:p>
      <w:r>
        <w:rPr>
          <w:b/>
        </w:rPr>
        <w:t xml:space="preserve">Apellido y Nombre: </w:t>
      </w:r>
      <w:r>
        <w:t>Alma Valentina Morales.</w:t>
        <w:tab/>
      </w:r>
      <w:r>
        <w:rPr>
          <w:b/>
        </w:rPr>
        <w:t xml:space="preserve">DNI: </w:t>
      </w:r>
      <w:r>
        <w:t>35179902</w:t>
        <w:br/>
      </w:r>
      <w:r>
        <w:rPr>
          <w:b/>
        </w:rPr>
        <w:t xml:space="preserve">Fecha Nac: </w:t>
      </w:r>
      <w:r>
        <w:t>28/05/1978 (41 años).</w:t>
        <w:tab/>
      </w:r>
      <w:r>
        <w:rPr>
          <w:b/>
        </w:rPr>
        <w:t xml:space="preserve">Obra Social: IOMA. Nº Afiliado: </w:t>
      </w:r>
      <w:r>
        <w:t>35179902/00</w:t>
        <w:br/>
      </w:r>
      <w:r>
        <w:rPr>
          <w:b/>
        </w:rPr>
        <w:t xml:space="preserve">Asistida desde: </w:t>
      </w:r>
      <w:r>
        <w:t>1998</w:t>
      </w:r>
    </w:p>
    <w:p>
      <w:r>
        <w:t>Niega alergias medicamentosas conocidas. Antecedentes: Hipotiroidismo levotiroxina 100mcg, Gastritis crónica.</w:t>
      </w:r>
    </w:p>
    <w:p>
      <w:r>
        <w:rPr>
          <w:b/>
        </w:rPr>
        <w:t>Síntomas Principales y Evolución:</w:t>
      </w:r>
    </w:p>
    <w:p>
      <w:r>
        <w:t>En un curso clínico de brotes y remisiones (RR), desarrolló recaídas compatibles con afección multifocal de sustancia blanca del SNC:</w:t>
        <w:br/>
        <w:t>-(1°) 23 de Mayo de 1998: Debut clínico caracterizado por diplopía por oftalmoplejía internuclear. Recibió pulsos de metilprednisolona con buena respuesta (restitutio ad integrum).</w:t>
        <w:br/>
        <w:t>-(2°) 29 de Junio de 2000: Nuevo episodio de diplopía por oftalmoplejía internuclear.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(01/04/19): Hemograma, hepatograma, función renal y tiroidea dentro de parámetros normales. Serologías virales negativas.</w:t>
        <w:br/>
        <w:t>- Potenciales Evocados Visuales (18/05/17): Latencias P100 prolongadas bilateralmente (OD:110ms, OI:103ms).</w:t>
        <w:br/>
        <w:t>- RMN de Control (10/05/19):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Interferón Beta-1a.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Blastoferón (Interferón Beta-1a).</w:t>
        <w:br/>
      </w:r>
      <w:r>
        <w:t>Dosis: 12 MUI (44 mcg). Vía: SC. Frecuencia: 3 veces por semana.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