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28 de Febrero de 2023</w:t>
      </w:r>
    </w:p>
    <w:p>
      <w:r>
        <w:rPr>
          <w:b/>
        </w:rPr>
        <w:t xml:space="preserve">Apellido y Nombre: </w:t>
      </w:r>
      <w:r>
        <w:t>Alma Valentina Morales.</w:t>
        <w:tab/>
      </w:r>
      <w:r>
        <w:rPr>
          <w:b/>
        </w:rPr>
        <w:t xml:space="preserve">DNI: </w:t>
      </w:r>
      <w:r>
        <w:t>35179902</w:t>
        <w:br/>
      </w:r>
      <w:r>
        <w:rPr>
          <w:b/>
        </w:rPr>
        <w:t xml:space="preserve">Fecha Nac: </w:t>
      </w:r>
      <w:r>
        <w:t>13/03/1969 (54 años).</w:t>
        <w:tab/>
      </w:r>
      <w:r>
        <w:rPr>
          <w:b/>
        </w:rPr>
        <w:t xml:space="preserve">Obra Social: IOMA. Nº Afiliado: </w:t>
      </w:r>
      <w:r>
        <w:t>35179902/00</w:t>
        <w:br/>
      </w:r>
      <w:r>
        <w:rPr>
          <w:b/>
        </w:rPr>
        <w:t xml:space="preserve">Asistida desde: </w:t>
      </w:r>
      <w:r>
        <w:t>1992</w:t>
      </w:r>
    </w:p>
    <w:p>
      <w:r>
        <w:t>Niega alergias medicamentosas conocidas. Antecedentes: Ansiedad, Tabaquismo leve, Migraña episódica.</w:t>
      </w:r>
    </w:p>
    <w:p>
      <w:r>
        <w:rPr>
          <w:b/>
        </w:rPr>
        <w:t>Síntomas Principales y Evolución:</w:t>
      </w:r>
    </w:p>
    <w:p>
      <w:r>
        <w:t>En un curso clínico de brotes y remisiones (RR), desarrolló recaídas compatibles con afección multifocal de sustancia blanca del SNC:</w:t>
        <w:br/>
        <w:t>-(1°) 7 de Marzo de 1992: Debut clínico caracterizado por diplopía por oftalmoplejía internuclear. Recibió pulsos de metilprednisolona con buena respuesta (restitutio ad integrum).</w:t>
        <w:br/>
        <w:t>-(2°) 15 de Marzo de 1994: Nuevo episodio de síndrome cerebeloso con inestabilidad y dismetría. Desde entonces se mantiene libre de nuevos eventos clínicos neurológicos.</w:t>
      </w:r>
    </w:p>
    <w:p>
      <w:r>
        <w:rPr>
          <w:b/>
        </w:rPr>
        <w:t xml:space="preserve">Examen Neurológico (EDSS Actual: 2.5): </w:t>
      </w:r>
      <w:r>
        <w:t xml:space="preserve">Paciente lúcido. Pares craneales conservados. </w:t>
      </w:r>
      <w:r>
        <w:t>Fuerza conservada 5/5. Reflejos vivos simétricos. Sin signos de foco.</w:t>
      </w:r>
    </w:p>
    <w:p>
      <w:r>
        <w:t>Estudios realizados (entre otros):</w:t>
        <w:br/>
        <w:t>- Laboratorio rutina (01/02/23): Hemograma, hepatograma, función renal y tiroidea dentro de parámetros normales. Serologías virales negativas.</w:t>
        <w:br/>
        <w:t>- Potenciales Evocados Visuales (28/02/21): Latencias P100 prolongadas bilateralmente (OD:116ms, OI:106ms).</w:t>
        <w:br/>
        <w:t>- RMN de Control (19/02/23):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Fingolimod.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Gilenya (Fingolimod).</w:t>
        <w:br/>
      </w:r>
      <w:r>
        <w:t>Dosis: 0.5 mg. Vía: Oral. Frecuencia: 1 comprimido diario.</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