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23 de Noviembre de 2021</w:t>
      </w:r>
    </w:p>
    <w:p>
      <w:r>
        <w:rPr>
          <w:b/>
        </w:rPr>
        <w:t xml:space="preserve">Apellido y Nombre: </w:t>
      </w:r>
      <w:r>
        <w:t>Guadalupe Martinez.</w:t>
        <w:tab/>
      </w:r>
      <w:r>
        <w:rPr>
          <w:b/>
        </w:rPr>
        <w:t xml:space="preserve">DNI: </w:t>
      </w:r>
      <w:r>
        <w:t>42444071</w:t>
        <w:br/>
      </w:r>
      <w:r>
        <w:rPr>
          <w:b/>
        </w:rPr>
        <w:t xml:space="preserve">Fecha Nac: </w:t>
      </w:r>
      <w:r>
        <w:t>02/12/1986 (35 años).</w:t>
        <w:tab/>
      </w:r>
      <w:r>
        <w:rPr>
          <w:b/>
        </w:rPr>
        <w:t xml:space="preserve">Obra Social: IOMA. Nº Afiliado: </w:t>
      </w:r>
      <w:r>
        <w:t>42444071/00</w:t>
        <w:br/>
      </w:r>
      <w:r>
        <w:rPr>
          <w:b/>
        </w:rPr>
        <w:t xml:space="preserve">Asistida desde: </w:t>
      </w:r>
      <w:r>
        <w:t>2011</w:t>
      </w:r>
    </w:p>
    <w:p>
      <w:r>
        <w:t>Niega alergias medicamentosas conocidas. Antecedentes: Hipotiroidismo levotiroxina 100mcg.</w:t>
      </w:r>
    </w:p>
    <w:p>
      <w:r>
        <w:rPr>
          <w:b/>
        </w:rPr>
        <w:t>Síntomas Principales y Evolución:</w:t>
      </w:r>
    </w:p>
    <w:p>
      <w:r>
        <w:t>En un curso clínico de brotes y remisiones (RR), desarrolló recaídas compatibles con afección multifocal de sustancia blanca del SNC:</w:t>
        <w:br/>
        <w:t>-(1°) 26 de Noviembre de 2011: Debut clínico caracterizado por neuritis óptica retrobulbar con dolor a la movilización ocular. Recibió pulsos de metilprednisolona con buena respuesta (restitutio ad integrum).</w:t>
        <w:br/>
        <w:t>-(2°) 19 de Noviembre de 2013: Nuevo episodio de neuritis óptica retrobulbar con dolor a la movilización ocular.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(11/10/21): Hemograma, hepatograma, función renal y tiroidea dentro de parámetros normales. Serologías virales negativas.</w:t>
        <w:br/>
        <w:t>- Potenciales Evocados Visuales (24/11/19): Latencias P100 prolongadas bilateralmente (OD:107ms, OI:108ms).</w:t>
        <w:br/>
        <w:t>- RMN de Control (17/11/21):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Interferón Beta-1a.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Blastoferón (Interferón Beta-1a).</w:t>
        <w:br/>
      </w:r>
      <w:r>
        <w:t>Dosis: 12 MUI (44 mcg).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