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28 de Agosto de 2023</w:t>
      </w:r>
    </w:p>
    <w:p>
      <w:r>
        <w:rPr>
          <w:b/>
        </w:rPr>
        <w:t xml:space="preserve">Apellido y Nombre: </w:t>
      </w:r>
      <w:r>
        <w:t>Benicio Torres.</w:t>
        <w:tab/>
      </w:r>
      <w:r>
        <w:rPr>
          <w:b/>
        </w:rPr>
        <w:t xml:space="preserve">DNI: </w:t>
      </w:r>
      <w:r>
        <w:t>37165240</w:t>
        <w:br/>
      </w:r>
      <w:r>
        <w:rPr>
          <w:b/>
        </w:rPr>
        <w:t xml:space="preserve">Fecha Nac: </w:t>
      </w:r>
      <w:r>
        <w:t>05/09/1991 (32 años).</w:t>
        <w:tab/>
      </w:r>
      <w:r>
        <w:rPr>
          <w:b/>
        </w:rPr>
        <w:t xml:space="preserve">Obra Social: IOMA. Nº Afiliado: </w:t>
      </w:r>
      <w:r>
        <w:t>37165240/00</w:t>
        <w:br/>
      </w:r>
      <w:r>
        <w:rPr>
          <w:b/>
        </w:rPr>
        <w:t xml:space="preserve">Asistida desde: </w:t>
      </w:r>
      <w:r>
        <w:t>2013</w:t>
      </w:r>
    </w:p>
    <w:p>
      <w:r>
        <w:t>Alergia a penicilina. Antecedentes: Tabaquismo leve.</w:t>
      </w:r>
    </w:p>
    <w:p>
      <w:r>
        <w:rPr>
          <w:b/>
        </w:rPr>
        <w:t>Síntomas Principales y Evolución:</w:t>
      </w:r>
    </w:p>
    <w:p>
      <w:r>
        <w:t>En un curso clínico de brotes y remisiones (RR), desarrolló recaídas compatibles con afección multifocal de sustancia blanca del SNC:</w:t>
        <w:br/>
        <w:t>-(1°) 30 de Agosto de 2013: Debut clínico caracterizado por urgencia miccional y trastornos esfinterianos. Recibió pulsos de metilprednisolona con buena respuesta (restitutio ad integrum).</w:t>
        <w:br/>
        <w:t>-(2°) 1 de Agosto de 2015: Nuevo episodio de urgencia miccional y trastornos esfinterianos.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(04/08/23): Hemograma, hepatograma, función renal y tiroidea dentro de parámetros normales. Serologías virales negativas.</w:t>
        <w:br/>
        <w:t>- Potenciales Evocados Visuales (28/08/21): Latencias P100 prolongadas bilateralmente (OD:125ms, OI:107ms).</w:t>
        <w:br/>
        <w:t>- RMN de Control (21/08/23):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Dimetil Fumarato.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Tecfidera (Dimetil Fumarato).</w:t>
        <w:br/>
      </w:r>
      <w:r>
        <w:t>Dosis: 240 mg. Vía: Oral. Frecuencia: 2 veces por día.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