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12 de Enero de 2026</w:t>
      </w:r>
    </w:p>
    <w:p>
      <w:r>
        <w:rPr>
          <w:b/>
        </w:rPr>
        <w:t xml:space="preserve">Apellido y Nombre: </w:t>
      </w:r>
      <w:r>
        <w:t>Joaquin Cardozo.</w:t>
        <w:tab/>
      </w:r>
      <w:r>
        <w:rPr>
          <w:b/>
        </w:rPr>
        <w:t xml:space="preserve">DNI: </w:t>
      </w:r>
      <w:r>
        <w:t>22449484</w:t>
        <w:br/>
      </w:r>
      <w:r>
        <w:rPr>
          <w:b/>
        </w:rPr>
        <w:t xml:space="preserve">Fecha Nac: </w:t>
      </w:r>
      <w:r>
        <w:t>21/01/1991 (35 años).</w:t>
        <w:tab/>
      </w:r>
      <w:r>
        <w:rPr>
          <w:b/>
        </w:rPr>
        <w:t xml:space="preserve">Obra Social: IOMA. Nº Afiliado: </w:t>
      </w:r>
      <w:r>
        <w:t>22449484/00</w:t>
        <w:br/>
      </w:r>
      <w:r>
        <w:rPr>
          <w:b/>
        </w:rPr>
        <w:t xml:space="preserve">Asistida desde: </w:t>
      </w:r>
      <w:r>
        <w:t>2013</w:t>
      </w:r>
    </w:p>
    <w:p>
      <w:r>
        <w:t>Niega alergias medicamentosas conocidas. Antecedentes: Ansiedad, Insomnio.</w:t>
      </w:r>
    </w:p>
    <w:p>
      <w:r>
        <w:rPr>
          <w:b/>
        </w:rPr>
        <w:t>Síntomas Principales y Evolución:</w:t>
      </w:r>
    </w:p>
    <w:p>
      <w:r>
        <w:t>En un curso clínico de brotes y remisiones (RR), desarrolló recaídas compatibles con afección multifocal de sustancia blanca del SNC:</w:t>
        <w:br/>
        <w:t>-(1°) 15 de Enero de 2013: Debut clínico caracterizado por síndrome cerebeloso con inestabilidad y dismetría. Recibió pulsos de metilprednisolona con buena respuesta (restitutio ad integrum).</w:t>
        <w:br/>
        <w:t xml:space="preserve">-(2°) 10 de Julio de 2014: Nuevo episodio de diplopía por oftalmoplejía internuclear. </w:t>
        <w:br/>
        <w:t>-(3°) 9 de Diciembre de 2025: Reactivación clínica con diplopía por oftalmoplejía internuclear. Persiste con secuelas motoras leves.</w:t>
      </w:r>
    </w:p>
    <w:p>
      <w:r>
        <w:rPr>
          <w:b/>
        </w:rPr>
        <w:t xml:space="preserve">Examen Neurológico (EDSS Actual: 3.5): </w:t>
      </w:r>
      <w:r>
        <w:t xml:space="preserve">Paciente lúcido. Pares craneales conservados. </w:t>
      </w:r>
      <w:r>
        <w:t>Paraparesia leve con hiperreflexia patelar. Marcha parética. Romberg positivo.</w:t>
      </w:r>
    </w:p>
    <w:p>
      <w:r>
        <w:t>Estudios realizados (entre otros):</w:t>
        <w:br/>
        <w:t>- Laboratorio rutina (13/11/25): Hemograma, hepatograma, función renal y tiroidea dentro de parámetros normales. Serologías virales negativas.</w:t>
        <w:br/>
        <w:t>- Potenciales Evocados Visuales (13/01/24): Latencias P100 prolongadas bilateralmente (OD:120ms, OI:114ms).</w:t>
        <w:br/>
        <w:t>- RMN de Control (07/01/26):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Natalizumab.</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