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21 de Mayo de 2021</w:t>
      </w:r>
    </w:p>
    <w:p>
      <w:r>
        <w:rPr>
          <w:b/>
        </w:rPr>
        <w:t xml:space="preserve">Apellido y Nombre: </w:t>
      </w:r>
      <w:r>
        <w:t>Santiago Benjamin Benitez.</w:t>
        <w:tab/>
      </w:r>
      <w:r>
        <w:rPr>
          <w:b/>
        </w:rPr>
        <w:t xml:space="preserve">DNI: </w:t>
      </w:r>
      <w:r>
        <w:t>33648250</w:t>
        <w:br/>
      </w:r>
      <w:r>
        <w:rPr>
          <w:b/>
        </w:rPr>
        <w:t xml:space="preserve">Fecha Nac: </w:t>
      </w:r>
      <w:r>
        <w:t>03/06/1969 (52 años).</w:t>
        <w:tab/>
      </w:r>
      <w:r>
        <w:rPr>
          <w:b/>
        </w:rPr>
        <w:t xml:space="preserve">Obra Social: IOMA. Nº Afiliado: </w:t>
      </w:r>
      <w:r>
        <w:t>33648250/00</w:t>
        <w:br/>
      </w:r>
      <w:r>
        <w:rPr>
          <w:b/>
        </w:rPr>
        <w:t xml:space="preserve">Asistida desde: </w:t>
      </w:r>
      <w:r>
        <w:t>1993</w:t>
      </w:r>
    </w:p>
    <w:p>
      <w:r>
        <w:t>Niega alergias medicamentosas conocidas. Antecedentes: Tabaquismo leve.</w:t>
      </w:r>
    </w:p>
    <w:p>
      <w:r>
        <w:rPr>
          <w:b/>
        </w:rPr>
        <w:t>Síntomas Principales y Evolución:</w:t>
      </w:r>
    </w:p>
    <w:p>
      <w:r>
        <w:t>En un curso clínico de brotes y remisiones (RR), desarrolló recaídas compatibles con afección multifocal de sustancia blanca del SNC:</w:t>
        <w:br/>
        <w:t>-(1°) 28 de Mayo de 1993: Debut clínico caracterizado por neuritis óptica retrobulbar con dolor a la movilización ocular. Recibió pulsos de metilprednisolona con buena respuesta (restitutio ad integrum).</w:t>
        <w:br/>
        <w:t>-(2°) 6 de Mayo de 1995: Nuevo episodio de neuritis óptica retrobulbar con dolor a la movilización ocular.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(19/04/21): Hemograma, hepatograma, función renal y tiroidea dentro de parámetros normales. Serologías virales negativas.</w:t>
        <w:br/>
        <w:t>- Potenciales Evocados Visuales (22/05/19): Latencias P100 prolongadas bilateralmente (OD:116ms, OI:101ms).</w:t>
        <w:br/>
        <w:t>- RMN de Control (16/05/21):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Acetato de Glatiramer.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Copaxone (Acetato de Glatiramer).</w:t>
        <w:br/>
      </w:r>
      <w:r>
        <w:t>Dosis: 40 mg.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