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19 de Enero de 2026</w:t>
      </w:r>
    </w:p>
    <w:p>
      <w:r>
        <w:rPr>
          <w:b/>
        </w:rPr>
        <w:t xml:space="preserve">Apellido y Nombre: </w:t>
      </w:r>
      <w:r>
        <w:t>Valentino Torres.</w:t>
        <w:tab/>
      </w:r>
      <w:r>
        <w:rPr>
          <w:b/>
        </w:rPr>
        <w:t xml:space="preserve">DNI: </w:t>
      </w:r>
      <w:r>
        <w:t>41186407</w:t>
        <w:br/>
      </w:r>
      <w:r>
        <w:rPr>
          <w:b/>
        </w:rPr>
        <w:t xml:space="preserve">Fecha Nac: </w:t>
      </w:r>
      <w:r>
        <w:t>02/02/1972 (54 años).</w:t>
        <w:tab/>
      </w:r>
      <w:r>
        <w:rPr>
          <w:b/>
        </w:rPr>
        <w:t xml:space="preserve">Obra Social: IOMA. Nº Afiliado: </w:t>
      </w:r>
      <w:r>
        <w:t>41186407/00</w:t>
        <w:br/>
      </w:r>
      <w:r>
        <w:rPr>
          <w:b/>
        </w:rPr>
        <w:t xml:space="preserve">Asistida desde: </w:t>
      </w:r>
      <w:r>
        <w:t>1994</w:t>
      </w:r>
    </w:p>
    <w:p>
      <w:r>
        <w:t>Sin antecedentes patológicos de relevancia. Antecedentes: Hipotiroidismo levotiroxina 100mcg, Insomnio, Migraña episódica.</w:t>
      </w:r>
    </w:p>
    <w:p>
      <w:r>
        <w:rPr>
          <w:b/>
        </w:rPr>
        <w:t>Síntomas Principales y Evolución:</w:t>
      </w:r>
    </w:p>
    <w:p>
      <w:r>
        <w:t>En un curso clínico de brotes y remisiones (RR), desarrolló recaídas compatibles con afección multifocal de sustancia blanca del SNC:</w:t>
        <w:br/>
        <w:t>-(1°) 27 de Enero de 1994: Debut clínico caracterizado por síndrome cerebeloso con inestabilidad y dismetría. Recibió pulsos de metilprednisolona con buena respuesta (restitutio ad integrum).</w:t>
        <w:br/>
        <w:t xml:space="preserve">-(2°) 11 de Agosto de 1995: Nuevo episodio de síndrome cerebeloso con inestabilidad y dismetría. </w:t>
        <w:br/>
        <w:t>-(3°) 19 de Diciembre de 2025: Reactivación clínica con diplopía por oftalmoplejía internuclear. Persiste con secuelas motoras leves.</w:t>
      </w:r>
    </w:p>
    <w:p>
      <w:r>
        <w:rPr>
          <w:b/>
        </w:rPr>
        <w:t xml:space="preserve">Examen Neurológico (EDSS Actual: 3.5): </w:t>
      </w:r>
      <w:r>
        <w:t xml:space="preserve">Paciente lúcido. Pares craneales conservados. </w:t>
      </w:r>
      <w:r>
        <w:t>Paraparesia leve con hiperreflexia patelar. Marcha parética. Romberg positivo.</w:t>
      </w:r>
    </w:p>
    <w:p>
      <w:r>
        <w:t>Estudios realizados (entre otros):</w:t>
        <w:br/>
        <w:t>- Laboratorio rutina (24/12/25): Hemograma, hepatograma, función renal y tiroidea dentro de parámetros normales. Serologías virales negativas.</w:t>
        <w:br/>
        <w:t>- Potenciales Evocados Visuales (20/01/24): Latencias P100 prolongadas bilateralmente (OD:120ms, OI:113ms).</w:t>
        <w:br/>
        <w:t>- RMN de Control (08/01/26): Se evidencia aparición de NUEVAS lesiones T2 infratentoriales. Al menos una lesión nodular muestra realce tras administración de Gadolinio (Actividad Inflamatoria Actual +). Progresión de la carga lesional respecto a estudio previo.</w:t>
      </w:r>
    </w:p>
    <w:p>
      <w:r>
        <w:rPr>
          <w:b/>
        </w:rPr>
        <w:t xml:space="preserve">Diagnóstico: </w:t>
      </w:r>
      <w:r>
        <w:t>Esclerosis Múltiple Forma Remitente-Recurrente (CIE-10 G35).</w:t>
      </w:r>
    </w:p>
    <w:p>
      <w:r>
        <w:rPr>
          <w:b/>
        </w:rPr>
        <w:t xml:space="preserve">Comentario Médico: </w:t>
      </w:r>
      <w:r>
        <w:t>Ante evidencia de actividad inflamatoria, se indica ROTACIÓN a Fingolimod.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Gilenya (Fingolimod).</w:t>
        <w:br/>
      </w:r>
      <w:r>
        <w:t>Dosis: 0.5 mg. Vía: Oral. Frecuencia: 1 comprimido diario.</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