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18 de Abril de 2021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-migraña + -síndrome de túnel carpiano + -hipertensión arterial + -ansiedad.-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2017: episodio sensitivo con parestesias/hipoestesia de distribución dorsal que duró meses y restituyó casi ad integrum -(2°) febrero 2019: recaída de similares características, agregando mínimo componente motor y/o equilibrio. dolor neuropático tipo fulgurante y Lhermitte. crisis vertiginosas. trastornos del equilibrio y coordinación con marcha inestable. constipación pertinaz. neuritis óptica / disminución de visión central. urgencia urinaria con episodios de incontinencia. Evolución: -Buena respuesta clínica, sin brotes recientes y adecuada tolerancia al tratamiento.</w:t>
      </w:r>
    </w:p>
    <w:p>
      <w:r>
        <w:rPr>
          <w:b w:val="0"/>
        </w:rPr>
        <w:t>Datos semiológicos: Romberg + + ataxia axial leve + hemihipoestesia con nivel sensitivo dorsal.-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lesión intramedular cervical C3-C4 con realce con Gd IV, compatible con desmielinización aguda.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