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08 de Febrero de 2023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-hipotiroidismo en tratamiento + -cervicalgia + -ansiedad + -hipertensión arterial + -rosácea.-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2015: episodio sensitivo con parestesias/hipoestesia de distribución dorsal que duró meses y restituyó casi ad integrum -(2°) abril 2018: recaída de similares características, agregando mínimo componente motor y/o equilibrio. trastornos del equilibrio y coordinación con marcha inestable. urgencia urinaria con episodios de incontinencia. dolor neuropático tipo fulgurante y Lhermitte. disminución de la fuerza con torpeza motora. crisis vertiginosas. Evolución: -Sin evidencia de actividad clínica reciente; controles radiológicos sin captación de gadolinio.</w:t>
      </w:r>
    </w:p>
    <w:p>
      <w:r>
        <w:rPr>
          <w:b w:val="0"/>
        </w:rPr>
        <w:t>Datos semiológicos: elementos esfinterianos vésico-rectales + ataxia axial leve + síndrome bipiramidal a predominio crural.-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