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22 de Abril de 2023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-hipotiroidismo en tratamiento + -alergia a abejas.-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2013: episodio sensitivo con parestesias/hipoestesia de distribución dorsal que duró meses y restituyó casi ad integrum -(2°) julio 2014: recaída de similares características, agregando mínimo componente motor y/o equilibrio. crisis vertiginosas. neuritis óptica / disminución de visión central. constipación pertinaz. fatiga y termosensibilidad. Evolución: -Sin evidencia de actividad clínica reciente; controles radiológicos sin captación de gadolinio.</w:t>
      </w:r>
    </w:p>
    <w:p>
      <w:r>
        <w:rPr>
          <w:b w:val="0"/>
        </w:rPr>
        <w:t>Datos semiológicos: Romberg + + ataxia axial leve + elementos mínimos de bipiramidalismo.-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imágenes focales cerebrales en la sustancia blanca a predominio periventriculares bilaterales pericallosas (n°≥ 15), con algunas captando Gd IV(+) compatibles con actividad.</w:t>
      </w:r>
    </w:p>
    <w:p>
      <w:r>
        <w:rPr>
          <w:b w:val="0"/>
        </w:rPr>
        <w:t>-RMN de médula cervical/dorsal: lesión intramedular cervical C3-C4 con realce con Gd IV, compatible con desmielinización aguda.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