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Agosto de 2019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-cervicalgia + -EPOC leve + -rosácea + -alergia a abejas.-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2020: episodio sensitivo con parestesias/hipoestesia de distribución dorsal que duró meses y restituyó casi ad integrum -(2°) abril 2022: recaída de similares características, agregando mínimo componente motor y/o equilibrio. crisis vertiginosas. dolor neuropático tipo fulgurante y Lhermitte. trastornos del equilibrio y coordinación con marcha inestable. fatiga y termosensibilidad. neuritis óptica / disminución de visión central.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elementos esfinterianos vésico-rectales + Romberg + + síndrome bipiramidal a predominio crural + hemihipoestesia con nivel sensitivo dorsal.-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