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Mayo de 2025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-hipertensión arterial + -síndrome de túnel carpiano + -EPOC leve + -migraña + -ansiedad.-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2021: episodio sensitivo con parestesias/hipoestesia de distribución dorsal que duró meses y restituyó casi ad integrum -(2°) febrero 2025: recaída de similares características, agregando mínimo componente motor y/o equilibrio. neuritis óptica / disminución de visión central. disestesias con hiperestesias quemantes. parestesias e hipoestesias. urgencia urinaria con episodios de incontinencia. fatiga y termosensibilidad. Evolución: -Buena respuesta clínica, sin brotes recientes y adecuada tolerancia al tratamiento.</w:t>
      </w:r>
    </w:p>
    <w:p>
      <w:r>
        <w:rPr>
          <w:b w:val="0"/>
        </w:rPr>
        <w:t>Datos semiológicos: Romberg + + elementos mínimos de bipiramidalismo + elementos esfinterianos vésico-rectales.-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