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18 de Julio de 2022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-síndrome de túnel carpiano + -migraña + -hipotiroidismo en tratamiento + -alergia a abejas.-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2010: episodio sensitivo con parestesias/hipoestesia de distribución dorsal que duró meses y restituyó casi ad integrum -(2°) febrero 2013: recaída de similares características, agregando mínimo componente motor y/o equilibrio. neuritis óptica / disminución de visión central. trastornos del equilibrio y coordinación con marcha inestable. urgencia urinaria con episodios de incontinencia. dolor neuropático tipo fulgurante y Lhermitte. parestesias e hipoestesias.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elementos esfinterianos vésico-rectales + Romberg + + ataxia axial leve + hemihipoestesia con nivel sensitivo dorsal.-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