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23 de Julio de 2024</w:t>
      </w:r>
    </w:p>
    <w:p/>
    <w:p>
      <w:r>
        <w:rPr>
          <w:b w:val="0"/>
        </w:rPr>
        <w:t>Apellido y nombre: Rodríguez, Romina.    DNI: 43.745.446        Fecha de Nacimiento: 07/12/59</w:t>
      </w:r>
    </w:p>
    <w:p>
      <w:r>
        <w:rPr>
          <w:b w:val="0"/>
        </w:rPr>
        <w:t>Dirección: calle 650 e/ 2 y 3 s/n° 427. La Plata. Teléfono: (0221)  484-4733 / 15- 5855124</w:t>
      </w:r>
    </w:p>
    <w:p>
      <w:r>
        <w:rPr>
          <w:b w:val="0"/>
        </w:rPr>
        <w:t>Obra Social: OSPIP</w:t>
      </w:r>
    </w:p>
    <w:p>
      <w:r>
        <w:rPr>
          <w:b w:val="0"/>
        </w:rPr>
        <w:t xml:space="preserve">                       nº de afiliado: H23556182/00</w:t>
      </w:r>
    </w:p>
    <w:p>
      <w:r>
        <w:rPr>
          <w:b w:val="0"/>
        </w:rPr>
        <w:t>Asistida desde: 13/05/24</w:t>
      </w:r>
    </w:p>
    <w:p>
      <w:r>
        <w:rPr>
          <w:b w:val="0"/>
        </w:rPr>
        <w:t>Antecedente personales: -tabaquismo + -alergia a abejas + -cervicalgia + -síndrome de túnel carpiano.-</w:t>
      </w:r>
    </w:p>
    <w:p>
      <w:r>
        <w:rPr>
          <w:b w:val="0"/>
        </w:rPr>
        <w:t>Antecedentes familiares: padre con HTA.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agosto 2013: episodio sensitivo con parestesias/hipoestesia de distribución dorsal que duró meses y restituyó casi ad integrum -(2°) enero 2014: recaída de similares características, agregando mínimo componente motor y/o equilibrio. disminución de la fuerza con torpeza motora. crisis vertiginosas. disestesias con hiperestesias quemantes. fatiga y termosensibilidad. Evolución: -Sin evidencia de actividad clínica reciente; controles radiológicos sin captación de gadolinio.</w:t>
      </w:r>
    </w:p>
    <w:p>
      <w:r>
        <w:rPr>
          <w:b w:val="0"/>
        </w:rPr>
        <w:t>Datos semiológicos: hemihipoestesia con nivel sensitivo dorsal + elementos esfinterianos vésico-rectales + síndrome bipiramidal a predominio crural.- EDSS: 4.0.-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cerebro: múltiples imágenes focales cerebrales en la sustancia blanca a predominio periventriculares bilaterales pericallosas (n°≥ 15), con algunas captando Gd IV(+) compatibles con actividad.</w:t>
      </w:r>
    </w:p>
    <w:p>
      <w:r>
        <w:rPr>
          <w:b w:val="0"/>
        </w:rPr>
        <w:t>-RMN de médula cervical/dorsal: sin imágenes focales espinales evidentes en el control.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1ª-r (libre de albúmina) (Rebif) 12 MUI (44 mcgrs.) c/u 3 veces/semana por vía SC. El objetivo es disminuir el número y la gravedad de las recaídas, retrasando la discapacidad acumulativa y previniendo la atrofia cerebral. Se trata de la dosificación ajustada según el estudio PRISMS.</w:t>
      </w:r>
    </w:p>
    <w:p>
      <w:r>
        <w:rPr>
          <w:b w:val="0"/>
        </w:rPr>
        <w:t>Además, tratamiento sintomático: -Tizanidina (Sirdalud): 6-12 mg/día por vía oral, indicado para espasticidad.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-Rebif: -Interferón beta 1ª-r (libre de albúmina): 12 MUI (44 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