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21 de Abril de 2023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-migraña + -rosácea + -síndrome de túnel carpiano + -alergia a abejas.-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2011: episodio sensitivo con parestesias/hipoestesia de distribución dorsal que duró meses y restituyó casi ad integrum -(2°) febrero 2012: recaída de similares características, agregando mínimo componente motor y/o equilibrio. constipación pertinaz. disminución de la fuerza con torpeza motora. crisis vertiginosas. disestesias con hiperestesias quemantes. parestesias e hipoestesias. neuritis óptica / disminución de visión central. Evolución: -Libre de recaídas, sin requerimientos de corticoides en los últimos meses.</w:t>
      </w:r>
    </w:p>
    <w:p>
      <w:r>
        <w:rPr>
          <w:b w:val="0"/>
        </w:rPr>
        <w:t>Datos semiológicos: síndrome bipiramidal a predominio crural + elementos mínimos de bipiramidalismo + hemihipoestesia con nivel sensitivo dorsal + ataxia axial leve.-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