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16 de Agosto de 2022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-rosácea + -ansiedad + -alergia a abejas.-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2017: episodio sensitivo con parestesias/hipoestesia de distribución dorsal que duró meses y restituyó casi ad integrum -(2°) enero 2020: recaída de similares características, agregando mínimo componente motor y/o equilibrio. trastornos del equilibrio y coordinación con marcha inestable. fatiga y termosensibilidad. dolor neuropático tipo fulgurante y Lhermitte. disminución de la fuerza con torpeza motora.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Romberg + + R. Hoffman bilateral.-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