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24 de Febrero de 2023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-migraña + -diabetes tipo 2 + -hipotiroidismo en tratamiento + -alergia a abejas.-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2018: episodio sensitivo con parestesias/hipoestesia de distribución dorsal que duró meses y restituyó casi ad integrum -(2°) febrero 2020: recaída de similares características, agregando mínimo componente motor y/o equilibrio. parestesias e hipoestesias. disestesias con hiperestesias quemantes. fatiga y termosensibilidad. neuritis óptica / disminución de visión central.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síndrome bipiramidal a predominio crural + R. Hoffman bilateral + elementos esfinterianos vésico-rectales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